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兆豐銀行｜爭議交易與詐騙通報處理政策（草案 v0.9）</w:t>
      </w:r>
    </w:p>
    <w:p>
      <w:r>
        <w:rPr>
          <w:i/>
        </w:rPr>
        <w:t>（本文件為課程 Demo 用虛構內容，可自由修改。）</w:t>
      </w:r>
    </w:p>
    <w:p>
      <w:pPr>
        <w:pStyle w:val="Heading1"/>
      </w:pPr>
      <w:r>
        <w:t>1. 目的與範圍</w:t>
      </w:r>
    </w:p>
    <w:p>
      <w:r>
        <w:t>本政策用於規範『爭議交易與詐騙通報』之受理、調查、回覆與資料保存流程。</w:t>
      </w:r>
    </w:p>
    <w:p>
      <w:r>
        <w:t>適用範圍：信用卡、簽帳金融卡、網銀/行動銀行交易。</w:t>
      </w:r>
    </w:p>
    <w:p>
      <w:pPr>
        <w:pStyle w:val="Heading1"/>
      </w:pPr>
      <w:r>
        <w:t>2. 角色與責任</w:t>
      </w:r>
    </w:p>
    <w:p>
      <w:r>
        <w:t>客服中心：受理與初步分類、蒐集證據、客戶溝通。</w:t>
      </w:r>
    </w:p>
    <w:p>
      <w:r>
        <w:t>風險控管：交易風險評估、異常偵測與調查建議。</w:t>
      </w:r>
    </w:p>
    <w:p>
      <w:r>
        <w:t>法遵：監督法規遵循、對外通報規範。</w:t>
      </w:r>
    </w:p>
    <w:p>
      <w:r>
        <w:t>資訊安全：資安事件研判與封鎖處置。</w:t>
      </w:r>
    </w:p>
    <w:p>
      <w:pPr>
        <w:pStyle w:val="Heading1"/>
      </w:pPr>
      <w:r>
        <w:t>3. 服務等級（SLA）</w:t>
      </w:r>
    </w:p>
    <w:p>
      <w:r>
        <w:t>高風險案件：24 小時內初步回覆，72 小時內提出調查結論（如需延長需主管核可）。</w:t>
      </w:r>
    </w:p>
    <w:p>
      <w:r>
        <w:t>一般案件：48 小時內初步回覆，7 個工作天內結案。</w:t>
      </w:r>
    </w:p>
    <w:p>
      <w:pPr>
        <w:pStyle w:val="Heading1"/>
      </w:pPr>
      <w:r>
        <w:t>4. 資料與留存</w:t>
      </w:r>
    </w:p>
    <w:p>
      <w:r>
        <w:t>所有案件需保留：交易明細、通話/對話摘要、客戶提供佐證、內部調查紀錄。</w:t>
      </w:r>
    </w:p>
    <w:p>
      <w:r>
        <w:t>留存期限：至少 5 年（或依當地法規與內控要求調整）。</w:t>
      </w:r>
    </w:p>
    <w:p>
      <w:pPr>
        <w:pStyle w:val="Heading1"/>
      </w:pPr>
      <w:r>
        <w:t>5. 常見風險與緩解</w:t>
      </w:r>
    </w:p>
    <w:p>
      <w:r>
        <w:t>風險：回覆不一致、資料缺漏、跨部門轉交延遲、敏感資料外洩。</w:t>
      </w:r>
    </w:p>
    <w:p>
      <w:r>
        <w:t>緩解：統一範本、建立 Agent 供政策問答、以 SharePoint 單一真實來源（SSOT）管理版本。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