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光寶科技｜供應商品質管理與來料檢驗政策（草案 v0.9）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1. 目的與範圍</w:t>
      </w:r>
    </w:p>
    <w:p>
      <w:pPr/>
      <w:r>
        <w:t>本政策用於規範光寶科技所有事業群之供應商來料檢驗、品質異常處理與持續改善流程。</w:t>
      </w:r>
    </w:p>
    <w:p>
      <w:pPr/>
      <w:r>
        <w:t>適用範圍：電源供應器、LED 元件、光儲存模組、影像感測模組等所有產品線之原物料與零組件採購。</w:t>
      </w:r>
    </w:p>
    <w:p>
      <w:pPr/>
      <w:r>
        <w:t>本政策依據 ISO 9001:2015 與 IATF 16949（車用產品線）之要求制定，並配合客戶特殊要求（CSR）執行。</w:t>
      </w:r>
    </w:p>
    <w:p>
      <w:pPr>
        <w:pStyle w:val="Heading1"/>
      </w:pPr>
      <w:r>
        <w:t>2. 角色與責任</w:t>
      </w:r>
    </w:p>
    <w:p>
      <w:pPr/>
      <w:r>
        <w:t>品質工程（SQE）：執行來料檢驗、發出 CAR（Corrective Action Request）、追蹤改善成效。</w:t>
      </w:r>
    </w:p>
    <w:p>
      <w:pPr/>
      <w:r>
        <w:t>供應鏈管理（SCM）：供應商開發與評鑑、交期管理、備援供應商規劃。</w:t>
      </w:r>
    </w:p>
    <w:p>
      <w:pPr/>
      <w:r>
        <w:t>研發工程（RD）：規格確認、替代料驗證、工程變更通知（ECN）配合。</w:t>
      </w:r>
    </w:p>
    <w:p>
      <w:pPr/>
      <w:r>
        <w:t>製造工程（ME）：產線品質回饋、不良品分析（8D/5Why）、製程改善。</w:t>
      </w:r>
    </w:p>
    <w:p>
      <w:pPr/>
      <w:r>
        <w:t>法遵與稽核：供應商社會責任稽核、有害物質管理（RoHS/REACH）合規確認。</w:t>
      </w:r>
    </w:p>
    <w:p>
      <w:pPr>
        <w:pStyle w:val="Heading1"/>
      </w:pPr>
      <w:r>
        <w:t>3. 服務等級與回應時限（SLA）</w:t>
      </w:r>
    </w:p>
    <w:p>
      <w:pPr/>
      <w:r>
        <w:t>Critical 等級（停線風險）：供應商需於 4 小時內回覆初步分析，24 小時內提出臨時對策，7 天內完成 8D 報告。</w:t>
      </w:r>
    </w:p>
    <w:p>
      <w:pPr/>
      <w:r>
        <w:t>Major 等級（批退/良率低於標準）：供應商需於 24 小時內回覆，5 個工作天內提出改善計畫。</w:t>
      </w:r>
    </w:p>
    <w:p>
      <w:pPr/>
      <w:r>
        <w:t>Minor 等級（偶發性異常）：供應商需於 48 小時內回覆，10 個工作天內完成改善。</w:t>
      </w:r>
    </w:p>
    <w:p>
      <w:pPr/>
      <w:r>
        <w:t>若供應商未於規定時限內回覆，將自動升級至下一等級，並列入季度考核扣分。</w:t>
      </w:r>
    </w:p>
    <w:p>
      <w:pPr>
        <w:pStyle w:val="Heading1"/>
      </w:pPr>
      <w:r>
        <w:t>4. 來料檢驗標準與抽樣計畫</w:t>
      </w:r>
    </w:p>
    <w:p>
      <w:pPr/>
      <w:r>
        <w:t>抽樣計畫依 MIL-STD-1916 或客戶指定標準執行，AQL 依產品風險等級設定（Critical: 0.065, Major: 0.25, Minor: 1.0）。</w:t>
      </w:r>
    </w:p>
    <w:p>
      <w:pPr/>
      <w:r>
        <w:t>新供應商首批交貨採全檢（Full Inspection），連續三批合格後轉正常抽檢。</w:t>
      </w:r>
    </w:p>
    <w:p>
      <w:pPr/>
      <w:r>
        <w:t>外觀、尺寸、電氣特性、可靠度測試項目依《IQC 檢驗規範》執行。</w:t>
      </w:r>
    </w:p>
    <w:p>
      <w:pPr/>
      <w:r>
        <w:t>檢驗紀錄需保留至少 7 年（車用產品線為 15 年），並定期上傳至品質管理系統。</w:t>
      </w:r>
    </w:p>
    <w:p>
      <w:pPr>
        <w:pStyle w:val="Heading1"/>
      </w:pPr>
      <w:r>
        <w:t>5. 常見風險與緩解措施</w:t>
      </w:r>
    </w:p>
    <w:p>
      <w:pPr/>
      <w:r>
        <w:t>風險：供應商品質數據造假、抽樣不具代表性、跨廠區檢驗標準不一致。</w:t>
      </w:r>
    </w:p>
    <w:p>
      <w:pPr/>
      <w:r>
        <w:t>風險：單一供應商依賴度過高（占比 &gt; 60%），斷鏈風險大。</w:t>
      </w:r>
    </w:p>
    <w:p>
      <w:pPr/>
      <w:r>
        <w:t>風險：有害物質超標未及時發現，導致整批出貨召回。</w:t>
      </w:r>
    </w:p>
    <w:p>
      <w:pPr/>
      <w:r>
        <w:t>緩解：建立供應商評分卡（Scorecard），每季公布並與採購策略連動。</w:t>
      </w:r>
    </w:p>
    <w:p>
      <w:pPr/>
      <w:r>
        <w:t>緩解：推動雙源策略，關鍵料件至少維持 2 家合格供應商。</w:t>
      </w:r>
    </w:p>
    <w:p>
      <w:pPr/>
      <w:r>
        <w:t>緩解：建立 Copilot Agent 供品質規範快速查詢，減少人為判斷誤差。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