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光寶科技｜ESG 永續管理與碳排放管理政策（草案 v0.9）</w:t>
      </w:r>
    </w:p>
    <w:p>
      <w:pPr/>
      <w:r>
        <w:t>（本文件為課程 Demo 用虛構內容，可自由修改。）</w:t>
      </w:r>
    </w:p>
    <w:p>
      <w:pPr>
        <w:pStyle w:val="Heading1"/>
      </w:pPr>
      <w:r>
        <w:t>1. 目的與範圍</w:t>
      </w:r>
    </w:p>
    <w:p>
      <w:pPr/>
      <w:r>
        <w:t>本政策旨在規範光寶科技集團之環境、社會與治理（ESG）管理框架，以及溫室氣體盤查與減排推動流程。</w:t>
      </w:r>
    </w:p>
    <w:p>
      <w:pPr/>
      <w:r>
        <w:t>適用範圍：台灣（內湖、新竹）、中國（常州、廣州）、泰國（曼谷）及墨西哥（蒙特雷）所有營運據點。</w:t>
      </w:r>
    </w:p>
    <w:p>
      <w:pPr/>
      <w:r>
        <w:t>本政策依據 GRI Standards、TCFD 建議、ISO 14064-1、SBTi 框架制定。</w:t>
      </w:r>
    </w:p>
    <w:p>
      <w:pPr>
        <w:pStyle w:val="Heading1"/>
      </w:pPr>
      <w:r>
        <w:t>2. 治理架構與角色</w:t>
      </w:r>
    </w:p>
    <w:p>
      <w:pPr/>
      <w:r>
        <w:t>ESG 委員會（Board Level）：每季審查 ESG 策略與風險，由獨立董事擔任主席。</w:t>
      </w:r>
    </w:p>
    <w:p>
      <w:pPr/>
      <w:r>
        <w:t>永續發展辦公室：統籌碳盤查、ESG 報告編制、利害關係人溝通。</w:t>
      </w:r>
    </w:p>
    <w:p>
      <w:pPr/>
      <w:r>
        <w:t>各廠區 EHS 主管：執行現場環境數據蒐集、能源管理與法規遵循。</w:t>
      </w:r>
    </w:p>
    <w:p>
      <w:pPr/>
      <w:r>
        <w:t>供應鏈管理（SCM）：推動供應商 ESG 評鑑與碳揭露要求。</w:t>
      </w:r>
    </w:p>
    <w:p>
      <w:pPr/>
      <w:r>
        <w:t>財務與投資人關係：ESG 評級回應、永續金融工具（綠色債券）規劃。</w:t>
      </w:r>
    </w:p>
    <w:p>
      <w:pPr>
        <w:pStyle w:val="Heading1"/>
      </w:pPr>
      <w:r>
        <w:t>3. 碳盤查方法論</w:t>
      </w:r>
    </w:p>
    <w:p>
      <w:pPr/>
      <w:r>
        <w:t>範疇一（Scope 1）：自有設施直接排放，包括鍋爐、公務車、備用發電機、製程逸散。</w:t>
      </w:r>
    </w:p>
    <w:p>
      <w:pPr/>
      <w:r>
        <w:t>範疇二（Scope 2）：外購電力、蒸汽之間接排放，依市場基準法（Market-based）計算。</w:t>
      </w:r>
    </w:p>
    <w:p>
      <w:pPr/>
      <w:r>
        <w:t>範疇三（Scope 3）：價值鏈排放，重點類別為「購入商品與服務」、「上游運輸」、「員工通勤」。</w:t>
      </w:r>
    </w:p>
    <w:p>
      <w:pPr/>
      <w:r>
        <w:t>數據品質要求：優先使用實測值（Tier 1），次使用供應商提供（Tier 2），最後使用產業係數（Tier 3）。</w:t>
      </w:r>
    </w:p>
    <w:p>
      <w:pPr/>
      <w:r>
        <w:t>盤查週期：每年一次完整盤查，每季一次進度追蹤。驗證由第三方認證機構執行。</w:t>
      </w:r>
    </w:p>
    <w:p>
      <w:pPr>
        <w:pStyle w:val="Heading1"/>
      </w:pPr>
      <w:r>
        <w:t>4. 減排目標與路徑</w:t>
      </w:r>
    </w:p>
    <w:p>
      <w:pPr/>
      <w:r>
        <w:t>短期（2026）：範疇 1+2 排放量較 2020 基準年減少 30%。</w:t>
      </w:r>
    </w:p>
    <w:p>
      <w:pPr/>
      <w:r>
        <w:t>中期（2030）：範疇 1+2 減少 50%，範疇 3 減少 25%（SBTi 1.5°C 路徑）。</w:t>
      </w:r>
    </w:p>
    <w:p>
      <w:pPr/>
      <w:r>
        <w:t>長期（2050）：全集團碳中和（Net Zero）。</w:t>
      </w:r>
    </w:p>
    <w:p>
      <w:pPr/>
      <w:r>
        <w:t>主要減排手段：再生能源採購（PPA/REC）、製程節能改善、物流路線優化、供應商低碳轉型。</w:t>
      </w:r>
    </w:p>
    <w:p>
      <w:pPr>
        <w:pStyle w:val="Heading1"/>
      </w:pPr>
      <w:r>
        <w:t>5. 風險與合規</w:t>
      </w:r>
    </w:p>
    <w:p>
      <w:pPr/>
      <w:r>
        <w:t>風險：各廠區碳排數據蒐集延遲或品質不一，影響年度報告時程。</w:t>
      </w:r>
    </w:p>
    <w:p>
      <w:pPr/>
      <w:r>
        <w:t>風險：歐盟 CBAM（碳邊境調整機制）對出口產品產生成本衝擊。</w:t>
      </w:r>
    </w:p>
    <w:p>
      <w:pPr/>
      <w:r>
        <w:t>風險：供應商碳揭露配合度不足，影響範疇三數據完整性。</w:t>
      </w:r>
    </w:p>
    <w:p>
      <w:pPr/>
      <w:r>
        <w:t>緩解：建立統一碳數據平台，每月自動匯總各廠數據。</w:t>
      </w:r>
    </w:p>
    <w:p>
      <w:pPr/>
      <w:r>
        <w:t>緩解：導入 Copilot Agent 供 ESG 法規快速查詢與合規檢核。</w:t>
      </w:r>
    </w:p>
    <w:p>
      <w:pPr/>
      <w:r>
        <w:t>緩解：將供應商碳揭露納入評分卡考核項目。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