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會議紀錄｜ESG 委員會 2026 Q1 季度檢討（2026/03/15）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會議資訊</w:t>
      </w:r>
    </w:p>
    <w:p>
      <w:pPr/>
      <w:r>
        <w:t>日期：2026/03/15（六）10:00–12:00</w:t>
      </w:r>
    </w:p>
    <w:p>
      <w:pPr/>
      <w:r>
        <w:t>地點：光寶科技內湖總部 12F 董事會議室</w:t>
      </w:r>
    </w:p>
    <w:p>
      <w:pPr/>
      <w:r>
        <w:t>與會：ESG 委員會委員、永續發展辦公室、各廠區 EHS 主管（視訊）、財務長、投資人關係主管</w:t>
      </w:r>
    </w:p>
    <w:p>
      <w:pPr/>
      <w:r>
        <w:t>主題：2025 年度 ESG 報告初稿審查與 2026 減排進度追蹤</w:t>
      </w:r>
    </w:p>
    <w:p>
      <w:pPr>
        <w:pStyle w:val="Heading1"/>
      </w:pPr>
      <w:r>
        <w:t>討論要點</w:t>
      </w:r>
    </w:p>
    <w:p>
      <w:pPr/>
      <w:r>
        <w:t>1) 2025 年度範疇 1+2 碳排總量 45,200 tCO2e，較 2024（48,800）減少 7.4%，但距 2026 目標（42,000）仍有 7.6% 缺口。</w:t>
      </w:r>
    </w:p>
    <w:p>
      <w:pPr/>
      <w:r>
        <w:t>2) 常州廠 Q4 碳排異常飆升 40%（從 3,200 → 4,480 tCO2e），主因為備用發電機因限電政策大量啟用。</w:t>
      </w:r>
    </w:p>
    <w:p>
      <w:pPr/>
      <w:r>
        <w:t>3) 泰國廠已完成太陽能屋頂安裝，預計 2026 年可貢獻 1,200 MWh 再生能源，減排約 600 tCO2e。</w:t>
      </w:r>
    </w:p>
    <w:p>
      <w:pPr/>
      <w:r>
        <w:t>4) 範疇三數據蒐集率僅 62%，主要瓶頸在中小型供應商缺乏碳盤查能力。</w:t>
      </w:r>
    </w:p>
    <w:p>
      <w:pPr/>
      <w:r>
        <w:t>5) MSCI ESG 評級維持 A 級，惟 CDP 問卷回覆品質需提升（2025 得分 B，目標 A-）。</w:t>
      </w:r>
    </w:p>
    <w:p>
      <w:pPr/>
      <w:r>
        <w:t>6) 歐盟 CBAM 過渡期報告已提交，正式課稅階段預估年增成本約 USD 1.2M，需提早佈局低碳供應鏈。</w:t>
      </w:r>
    </w:p>
    <w:p>
      <w:pPr>
        <w:pStyle w:val="Heading1"/>
      </w:pPr>
      <w:r>
        <w:t>決策</w:t>
      </w:r>
    </w:p>
    <w:p>
      <w:pPr/>
      <w:r>
        <w:t>- 常州廠限電備援方案：優先評估儲能設備投資，減少對柴油發電機的依賴。</w:t>
      </w:r>
    </w:p>
    <w:p>
      <w:pPr/>
      <w:r>
        <w:t>- 範疇三改善：Q1 內舉辦供應商碳揭露說明會，並提供免費碳足跡計算工具。</w:t>
      </w:r>
    </w:p>
    <w:p>
      <w:pPr/>
      <w:r>
        <w:t>- ESG 報告編制流程：導入 Word Copilot 加速初稿撰寫與多語言翻譯。</w:t>
      </w:r>
    </w:p>
    <w:p>
      <w:pPr/>
      <w:r>
        <w:t>- 每月碳排數據自動化：使用 Excel Copilot 建立跨廠區碳排趨勢儀表板。</w:t>
      </w:r>
    </w:p>
    <w:p>
      <w:pPr>
        <w:pStyle w:val="Heading1"/>
      </w:pPr>
      <w:r>
        <w:t>擬辦事項</w:t>
      </w:r>
    </w:p>
    <w:p>
      <w:pPr/>
      <w:r>
        <w:t>A1：永續辦公室（李美玲）— 3/25 前完成 2025 ESG 報告初稿第二版。</w:t>
      </w:r>
    </w:p>
    <w:p>
      <w:pPr/>
      <w:r>
        <w:t>A2：常州廠 EHS（趙偉國）— 3/31 前提供限電期間碳排增量的詳細分析與對策。</w:t>
      </w:r>
    </w:p>
    <w:p>
      <w:pPr/>
      <w:r>
        <w:t>A3：SCM（黃淑芬）— 4/10 前完成前 50 大供應商碳揭露狀態調查。</w:t>
      </w:r>
    </w:p>
    <w:p>
      <w:pPr/>
      <w:r>
        <w:t>A4：財務（陳家豪）— 4/15 前完成 CBAM 成本影響評估報告。</w:t>
      </w:r>
    </w:p>
    <w:p>
      <w:pPr/>
      <w:r>
        <w:t>A5：你 — 4/7 前完成董事會 ESG 策略簡報（含碳排趨勢、減排路徑、投資建議）。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