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光寶科技｜全球營運管理政策與標準作業程序（v1.0）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1. 目的與範圍</w:t>
      </w:r>
    </w:p>
    <w:p>
      <w:pPr/>
      <w:r>
        <w:t>本政策用於規範光寶科技全球各營運據點之生產管理、效率衡量與持續改善機制。</w:t>
      </w:r>
    </w:p>
    <w:p>
      <w:pPr/>
      <w:r>
        <w:t>適用範圍：台灣（內湖/新竹）、中國（常州/廣州）、泰國（曼谷）、墨西哥（蒙特雷）所有製造廠區。</w:t>
      </w:r>
    </w:p>
    <w:p>
      <w:pPr>
        <w:pStyle w:val="Heading1"/>
      </w:pPr>
      <w:r>
        <w:t>2. 關鍵績效指標（KPI）定義</w:t>
      </w:r>
    </w:p>
    <w:p>
      <w:pPr/>
      <w:r>
        <w:t>OEE（Overall Equipment Effectiveness）= 稼動率 × 性能效率 × 良率，目標 ≥ 85%。</w:t>
      </w:r>
    </w:p>
    <w:p>
      <w:pPr/>
      <w:r>
        <w:t>良率（Yield Rate）：最終產品良率，目標依產品線設定（電源 ≥ 98%、LED ≥ 99%）。</w:t>
      </w:r>
    </w:p>
    <w:p>
      <w:pPr/>
      <w:r>
        <w:t>交期達成率（On-Time Delivery, OTD）：以客戶要求日為基準，目標 ≥ 95%。</w:t>
      </w:r>
    </w:p>
    <w:p>
      <w:pPr/>
      <w:r>
        <w:t>人均產出（Output per Capita）：每工時產出台數/模組數，作為跨廠比較基準。</w:t>
      </w:r>
    </w:p>
    <w:p>
      <w:pPr/>
      <w:r>
        <w:t>產能利用率（Utilization Rate）：實際產量 / 設計產能，目標 ≥ 80%。</w:t>
      </w:r>
    </w:p>
    <w:p>
      <w:pPr/>
      <w:r>
        <w:t>單位製造成本（Unit Manufacturing Cost）：含直接材料、直接人工與製造費用，每季檢討降本目標。</w:t>
      </w:r>
    </w:p>
    <w:p>
      <w:pPr>
        <w:pStyle w:val="Heading1"/>
      </w:pPr>
      <w:r>
        <w:t>3. 跨廠區標準化作業</w:t>
      </w:r>
    </w:p>
    <w:p>
      <w:pPr/>
      <w:r>
        <w:t>所有廠區使用統一的 MES（製造執行系統）與 ERP（SAP S/4HANA）。</w:t>
      </w:r>
    </w:p>
    <w:p>
      <w:pPr/>
      <w:r>
        <w:t>生產排程由中央 PMC（生產管制中心）統一規劃，各廠區執行。</w:t>
      </w:r>
    </w:p>
    <w:p>
      <w:pPr/>
      <w:r>
        <w:t>品質標準依 ISO 9001 / IATF 16949（車用線）統一規範，各廠區 IQC/IPQC/FQC 流程一致。</w:t>
      </w:r>
    </w:p>
    <w:p>
      <w:pPr/>
      <w:r>
        <w:t>每月第一週舉行跨區域營運月會，由各廠區主管輪流報告 KPI 與改善進度。</w:t>
      </w:r>
    </w:p>
    <w:p>
      <w:pPr>
        <w:pStyle w:val="Heading1"/>
      </w:pPr>
      <w:r>
        <w:t>4. 成本優化策略</w:t>
      </w:r>
    </w:p>
    <w:p>
      <w:pPr/>
      <w:r>
        <w:t>推動生產線自動化與智慧製造（AOI、自動插件機、協作機器人），降低人工依賴。</w:t>
      </w:r>
    </w:p>
    <w:p>
      <w:pPr/>
      <w:r>
        <w:t>人力部署彈性化：淡季跨線/跨廠區調配，旺季引入彈性人力。</w:t>
      </w:r>
    </w:p>
    <w:p>
      <w:pPr/>
      <w:r>
        <w:t>能源管理：各廠區設置能源管理系統（EMS），追蹤用電/用水/用氣數據。</w:t>
      </w:r>
    </w:p>
    <w:p>
      <w:pPr/>
      <w:r>
        <w:t>物流優化：依訂單區域就近生產出貨，縮短交期並降低運輸成本。</w:t>
      </w:r>
    </w:p>
    <w:p>
      <w:pPr>
        <w:pStyle w:val="Heading1"/>
      </w:pPr>
      <w:r>
        <w:t>5. 風險與緩解</w:t>
      </w:r>
    </w:p>
    <w:p>
      <w:pPr/>
      <w:r>
        <w:t>風險：各廠區 KPI 定義與計算方式存在微差，導致跨廠比較失真。</w:t>
      </w:r>
    </w:p>
    <w:p>
      <w:pPr/>
      <w:r>
        <w:t>風險：特定廠區人力流動率高（&gt; 15%/年），影響產線穩定性與品質。</w:t>
      </w:r>
    </w:p>
    <w:p>
      <w:pPr/>
      <w:r>
        <w:t>風險：單一廠區承接過高比例訂單，地緣政治與天災風險集中。</w:t>
      </w:r>
    </w:p>
    <w:p>
      <w:pPr/>
      <w:r>
        <w:t>緩解：統一 KPI 計算引擎（ERP 報表模組），並搭配 Excel Copilot 自動校驗。</w:t>
      </w:r>
    </w:p>
    <w:p>
      <w:pPr/>
      <w:r>
        <w:t>緩解：建立營運數據 Agent，提供跨廠區即時 KPI 比較與異常預警。</w:t>
      </w:r>
    </w:p>
    <w:p>
      <w:pPr/>
      <w:r>
        <w:t>緩解：訂單分配納入風險權重，避免單一廠區占比超過 40%。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