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會議紀錄｜全球跨區域營運月會（2026/03/10）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會議資訊</w:t>
      </w:r>
    </w:p>
    <w:p>
      <w:pPr/>
      <w:r>
        <w:t>日期：2026/03/10（二）09:00–11:00（各時區同步視訊）</w:t>
      </w:r>
    </w:p>
    <w:p>
      <w:pPr/>
      <w:r>
        <w:t>與會：全球營運長（COO）、各廠區廠長、PMC、HR、財務</w:t>
      </w:r>
    </w:p>
    <w:p>
      <w:pPr/>
      <w:r>
        <w:t>主題：2025 Q4 營運績效回顧與 2026 Q1 目標設定</w:t>
      </w:r>
    </w:p>
    <w:p>
      <w:pPr>
        <w:pStyle w:val="Heading1"/>
      </w:pPr>
      <w:r>
        <w:t>討論要點</w:t>
      </w:r>
    </w:p>
    <w:p>
      <w:pPr/>
      <w:r>
        <w:t>1) 2025 Q4 整體 OEE 為 81.3%，較 Q3（83.5%）下降 2.2 個百分點，主因為蒙特雷廠新線調機影響。</w:t>
      </w:r>
    </w:p>
    <w:p>
      <w:pPr/>
      <w:r>
        <w:t>2) 蒙特雷廠 OEE 僅 52%（全集團最低），原因：新引入的車用電源產線良率僅 88%，停機調整頻繁。</w:t>
      </w:r>
    </w:p>
    <w:p>
      <w:pPr/>
      <w:r>
        <w:t>3) 常州廠 OEE 表現最佳（91%），生產效率持續領先，但人均產出較 Q3 下降 5%（因新進員工培訓期）。</w:t>
      </w:r>
    </w:p>
    <w:p>
      <w:pPr/>
      <w:r>
        <w:t>4) 泰國曼谷廠交期達成率降至 89%（目標 95%），主因為海運延誤與倉儲管理瓶頸。</w:t>
      </w:r>
    </w:p>
    <w:p>
      <w:pPr/>
      <w:r>
        <w:t>5) 新竹廠已完成 SMT 線自動化升級，Q1 預期人均產出提升 20%。</w:t>
      </w:r>
    </w:p>
    <w:p>
      <w:pPr/>
      <w:r>
        <w:t>6) 全球人力成本較去年同期增加 8.5%，其中蒙特雷廠增幅最高（+15%），需檢討人力配置策略。</w:t>
      </w:r>
    </w:p>
    <w:p>
      <w:pPr>
        <w:pStyle w:val="Heading1"/>
      </w:pPr>
      <w:r>
        <w:t>決策</w:t>
      </w:r>
    </w:p>
    <w:p>
      <w:pPr/>
      <w:r>
        <w:t>- 蒙特雷廠車用線指派台灣資深 ME 支援調機，目標 Q1 良率提升至 95%。</w:t>
      </w:r>
    </w:p>
    <w:p>
      <w:pPr/>
      <w:r>
        <w:t>- 泰國廠物流改善：評估改為空運高優先訂單 + 優化倉儲揀貨流程。</w:t>
      </w:r>
    </w:p>
    <w:p>
      <w:pPr/>
      <w:r>
        <w:t>- 全球 KPI 儀表板 2.0：導入 Excel Copilot Edit with Copilot 模式，自動整理各廠資料並產出趨勢圖。</w:t>
      </w:r>
    </w:p>
    <w:p>
      <w:pPr/>
      <w:r>
        <w:t>- 成本優化專案：Q1 各廠需提出至少 3 項降本方案，總目標降低 2% 單位製造成本。</w:t>
      </w:r>
    </w:p>
    <w:p>
      <w:pPr>
        <w:pStyle w:val="Heading1"/>
      </w:pPr>
      <w:r>
        <w:t>擬辦事項</w:t>
      </w:r>
    </w:p>
    <w:p>
      <w:pPr/>
      <w:r>
        <w:t>A1：蒙特雷廠長（Carlos G.）— 3/20 前提出車用線良率改善計畫與支援需求。</w:t>
      </w:r>
    </w:p>
    <w:p>
      <w:pPr/>
      <w:r>
        <w:t>A2：泰國廠長（Somchai P.）— 3/25 前完成物流瓶頸分析與改善方案。</w:t>
      </w:r>
    </w:p>
    <w:p>
      <w:pPr/>
      <w:r>
        <w:t>A3：PMC（楊志強）— 3/31 前完成 Q1 訂單分配方案（含風險權重調整）。</w:t>
      </w:r>
    </w:p>
    <w:p>
      <w:pPr/>
      <w:r>
        <w:t>A4：HR（孫曉雯）— 3/31 前提出全球人力成本優化方案（含自動化投資 ROI 評估）。</w:t>
      </w:r>
    </w:p>
    <w:p>
      <w:pPr/>
      <w:r>
        <w:t>A5：你 — 4/5 前完成全球營運效率提升報告與高層簡報（含各廠 KPI 比較、成本優化方案、投資建議）。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