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國泰人壽『安心久久』長照新商品企劃書</w:t>
      </w:r>
    </w:p>
    <w:p>
      <w:r>
        <w:rPr>
          <w:b/>
          <w:color w:val="006633"/>
        </w:rPr>
        <w:t>文件編號：</w:t>
      </w:r>
      <w:r>
        <w:t>CL-S1-PP-2026-003</w:t>
      </w:r>
    </w:p>
    <w:p>
      <w:r>
        <w:rPr>
          <w:b/>
          <w:color w:val="006633"/>
        </w:rPr>
        <w:t>提案人：</w:t>
      </w:r>
      <w:r>
        <w:t>Christie Cline（商品企劃協理）</w:t>
      </w:r>
    </w:p>
    <w:p>
      <w:r>
        <w:rPr>
          <w:b/>
          <w:color w:val="006633"/>
        </w:rPr>
        <w:t>贊助者：</w:t>
      </w:r>
      <w:r>
        <w:t>Lidia Holloway（數位金融長 / Sponsor）</w:t>
      </w:r>
    </w:p>
    <w:p>
      <w:r>
        <w:rPr>
          <w:b/>
          <w:color w:val="006633"/>
        </w:rPr>
        <w:t>商審會議：</w:t>
      </w:r>
      <w:r>
        <w:t>預定執行日 +3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一、商品定位與目標客群</w:t>
      </w:r>
    </w:p>
    <w:p>
      <w:r>
        <w:t>「安心久久」鎖定 35-55 歲都會中產與高資產雙客群，主打「失智 × 居家 × ESG」三合一保障，是國內首檔將投資型保單收益連動 ESG 主題基金的長照終身險。</w:t>
      </w:r>
    </w:p>
    <w:p>
      <w:pPr>
        <w:pStyle w:val="Heading2"/>
      </w:pPr>
      <w:r>
        <w:t>二、商品架構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元件</w:t>
            </w:r>
          </w:p>
        </w:tc>
        <w:tc>
          <w:tcPr>
            <w:tcW w:type="dxa" w:w="432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主約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長照終身險（失能 + 失智擇一即賠）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附約 A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居家照護日額附約（每日 NT$ 200 起）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附約 B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ESG 投資連結附約（連動國泰投信 ESG 基金）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豁免條款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全殘 / 失能達 35 分以上免繳保費</w:t>
            </w:r>
          </w:p>
        </w:tc>
      </w:tr>
    </w:tbl>
    <w:p>
      <w:pPr>
        <w:pStyle w:val="Heading2"/>
      </w:pPr>
      <w:r>
        <w:t>三、上市時程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88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時程</w:t>
            </w:r>
          </w:p>
        </w:tc>
        <w:tc>
          <w:tcPr>
            <w:tcW w:type="dxa" w:w="288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精算費率定稿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T - 6 週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Irvin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金管會送審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T - 5 週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Johanna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核保系統開發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T - 4 週 ~ T - 1 週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Isaiah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業務員教育訓練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T - 2 週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Christie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正式上市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Christie + Lidia</w:t>
            </w:r>
          </w:p>
        </w:tc>
      </w:tr>
    </w:tbl>
    <w:p>
      <w:r>
        <w:rPr>
          <w:b/>
          <w:i/>
          <w:color w:val="C00000"/>
        </w:rPr>
        <w:t>💡【此處待補：請用 Copilot 補上 本商品的『差異化價值主張』段落（請結合競品分析報告與精算備忘錄資訊）】</w:t>
      </w:r>
    </w:p>
    <w:p>
      <w:r>
        <w:rPr>
          <w:b/>
          <w:i/>
          <w:color w:val="C00000"/>
        </w:rPr>
        <w:t>💡【此處待補：請用 Copilot 補上 上市後 12 個月的關鍵 KPI 預估（首月、Q1、首年銷售件數與保費收入）】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