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新版長照商品精算備忘錄</w:t>
      </w:r>
    </w:p>
    <w:p>
      <w:r>
        <w:rPr>
          <w:b/>
          <w:color w:val="006633"/>
        </w:rPr>
        <w:t>文件編號：</w:t>
      </w:r>
      <w:r>
        <w:t>CL-S1-AM-2026-002</w:t>
      </w:r>
    </w:p>
    <w:p>
      <w:r>
        <w:rPr>
          <w:b/>
          <w:color w:val="006633"/>
        </w:rPr>
        <w:t>撰寫人：</w:t>
      </w:r>
      <w:r>
        <w:t>Irvin Sayers（風險管理副理）</w:t>
      </w:r>
    </w:p>
    <w:p>
      <w:r>
        <w:rPr>
          <w:b/>
          <w:color w:val="006633"/>
        </w:rPr>
        <w:t>審核：</w:t>
      </w:r>
      <w:r>
        <w:t>外部簽證精算師 — 安永精算諮詢</w:t>
      </w:r>
    </w:p>
    <w:p>
      <w:r>
        <w:rPr>
          <w:b/>
          <w:color w:val="006633"/>
        </w:rPr>
        <w:t>撰寫日期：</w:t>
      </w:r>
      <w:r>
        <w:t>2026 年 5 月（執行日 -2）</w:t>
      </w:r>
    </w:p>
    <w:p>
      <w:r>
        <w:rPr>
          <w:b/>
          <w:color w:val="006633"/>
        </w:rPr>
        <w:t>文件目的：</w:t>
      </w:r>
      <w:r>
        <w:t>新版長照商品三檔費率方案精算依據與敏感度分析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一、精算假設總覽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假設項目</w:t>
            </w:r>
          </w:p>
        </w:tc>
        <w:tc>
          <w:tcPr>
            <w:tcW w:type="dxa" w:w="288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88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資料來源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失能發生率（65 歲以上）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男 1.85% / 女 2.42%（年）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TMSC 2024 經驗表 + 衛福部長照數據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失能持續期（中位數）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男 4.2 年 / 女 5.7 年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本公司舊版商品 2015-2024 經驗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失智發生率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65+ 7.8% / 75+ 18.4% / 85+ 36.2%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台灣失智症協會 2024 報告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利率（折現）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1.50%（30 年期 IFRS17 折現曲線）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金管會公布長期利率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費用率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首年 35% / 續年 8%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公司預算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解約率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首年 8% / 5 年後 1.5%（穩態）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舊版商品經驗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醫療通膨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年 3.8%（影響每月給付調整）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20"/>
              </w:rPr>
              <w:t>中央銀行物價統計</w:t>
            </w:r>
          </w:p>
        </w:tc>
      </w:tr>
    </w:tbl>
    <w:p>
      <w:pPr>
        <w:pStyle w:val="Heading2"/>
      </w:pPr>
      <w:r>
        <w:t>二、三檔費率方案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每月給付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保證給付期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失智保障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居家照護</w:t>
            </w:r>
          </w:p>
        </w:tc>
        <w:tc>
          <w:tcPr>
            <w:tcW w:type="dxa" w:w="144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年繳保費（40M）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基本型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NT$ 30,000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180 月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CDR ≥1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NT$ 68,400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進階型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NT$ 40,000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180 月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CDR ≥0.5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每月 6,000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NT$ 95,200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尊榮型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NT$ 60,000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240 月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CDR ≥0.5 + 失智專屬服務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每月 12,000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20"/>
              </w:rPr>
              <w:t>NT$ 158,000</w:t>
            </w:r>
          </w:p>
        </w:tc>
      </w:tr>
    </w:tbl>
    <w:p>
      <w:pPr>
        <w:pStyle w:val="Heading2"/>
      </w:pPr>
      <w:r>
        <w:t>三、敏感度分析結果（Monte Carlo 10 萬次）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敏感度因子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基準值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+10% 衝擊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-10% 衝擊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風險評等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失能發生率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損失率 58.2%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65.7%（+7.5pp）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51.3%（-6.9pp）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🔴 高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失智發生率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損失率 58.2%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61.4%（+3.2pp）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55.5%（-2.7pp）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🟡 中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長期折現率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損失率 58.2%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55.8%（-2.4pp）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60.9%（+2.7pp）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🟡 中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醫療通膨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損失率 58.2%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63.1%（+4.9pp）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53.8%（-4.4pp）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🟡 中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解約率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損失率 58.2%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59.5%（+1.3pp）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57.0%（-1.2pp）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🟢 低</w:t>
            </w:r>
          </w:p>
        </w:tc>
      </w:tr>
    </w:tbl>
    <w:p>
      <w:pPr>
        <w:pStyle w:val="Heading2"/>
      </w:pPr>
      <w:r>
        <w:t>四、與競品對比的精算觀察</w:t>
      </w:r>
    </w:p>
    <w:p>
      <w:r>
        <w:t>新光人壽尊榮版保證給付 240 個月，但其失能定義要求「巴氏量表 + CDR 雙條件」明顯較嚴格，我方建議在尊榮型採用「擇一條件即賠」設計，雖會推升損失率約 3.5pp，但可創造明顯產品差異。</w:t>
      </w:r>
    </w:p>
    <w:p>
      <w:r>
        <w:t>富邦居家照護每月 5,000 元相對保守，新光則達 8,000 元；本案進階型 6,000 / 尊榮型 12,000 屬中高位定價，對高資產客群有吸引力，建議搭配國泰投信 ESG 投資型附約共售。</w:t>
      </w:r>
    </w:p>
    <w:p>
      <w:pPr>
        <w:pStyle w:val="Heading2"/>
      </w:pPr>
      <w:r>
        <w:t>五、風險警示</w:t>
      </w:r>
    </w:p>
    <w:p>
      <w:pPr>
        <w:pStyle w:val="ListBullet"/>
      </w:pPr>
      <w:r>
        <w:t>若 IFRS17 折現曲線下調超過 30bps（情境分析），尊榮型損失率將突破 65%，建議列入定期追蹤指標</w:t>
      </w:r>
    </w:p>
    <w:p>
      <w:pPr>
        <w:pStyle w:val="ListBullet"/>
      </w:pPr>
      <w:r>
        <w:t>失能發生率為最敏感因子，建議每季比對舊版商品經驗值校準</w:t>
      </w:r>
    </w:p>
    <w:p>
      <w:pPr>
        <w:pStyle w:val="ListBullet"/>
      </w:pPr>
      <w:r>
        <w:t>醫療通膨若連 3 年 &gt;5%，需啟動費率調整條款（金管會核准前提）</w:t>
      </w:r>
    </w:p>
    <w:p>
      <w:r>
        <w:rPr>
          <w:b/>
          <w:i/>
          <w:color w:val="C00000"/>
        </w:rPr>
        <w:t>💡【此處待補：請用 Copilot 補上 本備忘錄結論段（含 3 個關鍵風險指標 + 給商審會的決策建議）】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