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33"/>
        </w:rPr>
        <w:t>長照保單競品分析報告</w:t>
      </w:r>
    </w:p>
    <w:p>
      <w:r>
        <w:rPr>
          <w:b/>
          <w:color w:val="006633"/>
        </w:rPr>
        <w:t>文件編號：</w:t>
      </w:r>
      <w:r>
        <w:t>CL-S1-CA-2026-001</w:t>
      </w:r>
    </w:p>
    <w:p>
      <w:r>
        <w:rPr>
          <w:b/>
          <w:color w:val="006633"/>
        </w:rPr>
        <w:t>撰寫人：</w:t>
      </w:r>
      <w:r>
        <w:t>Christie Cline（商品企劃協理）</w:t>
      </w:r>
    </w:p>
    <w:p>
      <w:r>
        <w:rPr>
          <w:b/>
          <w:color w:val="006633"/>
        </w:rPr>
        <w:t>協作者：</w:t>
      </w:r>
      <w:r>
        <w:t>Irvin Sayers（風險管理）、Joni Sherman（投信量化）</w:t>
      </w:r>
    </w:p>
    <w:p>
      <w:r>
        <w:rPr>
          <w:b/>
          <w:color w:val="006633"/>
        </w:rPr>
        <w:t>撰寫日期：</w:t>
      </w:r>
      <w:r>
        <w:t>2026 年 5 月（執行日 -3）</w:t>
      </w:r>
    </w:p>
    <w:p>
      <w:r>
        <w:rPr>
          <w:b/>
          <w:color w:val="006633"/>
        </w:rPr>
        <w:t>文件目的：</w:t>
      </w:r>
      <w:r>
        <w:t>為 2026 Q3 新長照商品定位提供市場與競品基礎研究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一、市場概況</w:t>
      </w:r>
    </w:p>
    <w:p>
      <w:r>
        <w:t>依國發會 2024 年人口推估，台灣 65 歲以上人口將於 2025 年達 19.8%（超高齡社會門檻 20% 將於 2026 年突破），失能/失智人口推估 91.5 萬人，但長照保險滲透率僅 4.2%，相較日本（27%）、美國（9%）仍有明顯成長空間。</w:t>
      </w:r>
    </w:p>
    <w:p>
      <w:r>
        <w:t>本公司現有「國泰永康長照終身險」自 2018 年銷售以來累計有效契約 18.7 萬件，但近兩年新契約年成長率自 12% 降至 4.1%，顯示既有商品已進入成熟期，亟需新世代商品接棒。</w:t>
      </w:r>
    </w:p>
    <w:p>
      <w:pPr>
        <w:pStyle w:val="Heading2"/>
      </w:pPr>
      <w:r>
        <w:t>二、五大競品條款比較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本公司現行版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富邦人壽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南山人壽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新光人壽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三商美邦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商品名稱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永康長照終身險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守護一生長照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美滿長照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新光長照守護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美邦長照樂活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給付定義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巴氏量表 ≤35 分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巴氏量表 ≤30 分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ADL 三項以上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巴氏 + CDR 雙條件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ADL 兩項以上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免責期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90 天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90 天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180 天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90 天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60 天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每月給付（基本）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NT$ 36,000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NT$ 40,000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NT$ 36,000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NT$ 30,000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NT$ 32,000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保證給付期間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180 個月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180 個月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120 個月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240 個月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180 個月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保費（40 歲男）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年繳 87,500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年繳 92,000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年繳 79,800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年繳 105,000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年繳 76,500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失智保障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輕度需追加附約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包含 CDR ≥1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另售失智專屬險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包含 CDR ≥0.5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輕度不保障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居家照護給付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無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有，每月 5,000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無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有，每月 8,000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無</w:t>
            </w:r>
          </w:p>
        </w:tc>
      </w:tr>
    </w:tbl>
    <w:p>
      <w:pPr>
        <w:pStyle w:val="Heading2"/>
      </w:pPr>
      <w:r>
        <w:t>三、本公司競爭定位 SWOT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面向</w:t>
            </w:r>
          </w:p>
        </w:tc>
        <w:tc>
          <w:tcPr>
            <w:tcW w:type="dxa" w:w="288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內容</w:t>
            </w:r>
          </w:p>
        </w:tc>
        <w:tc>
          <w:tcPr>
            <w:tcW w:type="dxa" w:w="288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策略意涵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S 優勢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國泰金控通路最廣（5,200 業務員 + 168 分行）、品牌信任度第一（NPS 65）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以通路 × 品牌力強化長期續保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W 弱勢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失智保障需附約、保費中段、居家照護未涵蓋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新版主打「失智 × 居家」一張保單到位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O 機會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超高齡社會 2026 年正式達標、政府長照 3.0 上路、ESG 退休金需求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與國泰投信合作推「長照 + ESG 投資型」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T 威脅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新光以保證給付 240 個月切入高資產客群、富邦居家照護給付加碼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需在 2026 Q4 前推出回應方案</w:t>
            </w:r>
          </w:p>
        </w:tc>
      </w:tr>
    </w:tbl>
    <w:p>
      <w:pPr>
        <w:pStyle w:val="Heading2"/>
      </w:pPr>
      <w:r>
        <w:t>四、Researcher Agent 待整合題目</w:t>
      </w:r>
    </w:p>
    <w:p>
      <w:r>
        <w:t>（此份報告將於 5/15 課程現場由 Researcher Agent 進一步整合下列外部資訊）：</w:t>
      </w:r>
    </w:p>
    <w:p>
      <w:pPr>
        <w:pStyle w:val="ListBullet"/>
      </w:pPr>
      <w:r>
        <w:t>日本介護保險制度近三年改革重點（特別是 2024 年改革對民間商品的影響）</w:t>
      </w:r>
    </w:p>
    <w:p>
      <w:pPr>
        <w:pStyle w:val="ListBullet"/>
      </w:pPr>
      <w:r>
        <w:t>美國 LTCi (Long-Term Care Insurance) 市場萎縮原因與替代商品趨勢（hybrid 終身壽險 + LTC rider）</w:t>
      </w:r>
    </w:p>
    <w:p>
      <w:pPr>
        <w:pStyle w:val="ListBullet"/>
      </w:pPr>
      <w:r>
        <w:t>金管會保險局針對長照險「失智輕度納入給付」的最新意見（2026 函釋）</w:t>
      </w:r>
    </w:p>
    <w:p>
      <w:pPr>
        <w:pStyle w:val="ListBullet"/>
      </w:pPr>
      <w:r>
        <w:t>高齡化日韓對「居家失智照護科技」的補助政策</w:t>
      </w:r>
    </w:p>
    <w:p>
      <w:pPr>
        <w:pStyle w:val="ListBullet"/>
      </w:pPr>
      <w:r>
        <w:t>ESG / 影響力投資型保單在歐洲市場的滲透率與定價結構</w:t>
      </w:r>
    </w:p>
    <w:p>
      <w:pPr>
        <w:pStyle w:val="Heading2"/>
      </w:pPr>
      <w:r>
        <w:t>五、Analyst Agent 待計算題目</w:t>
      </w:r>
    </w:p>
    <w:p>
      <w:r>
        <w:t>（此份報告中的數據將於課程現場由 Analyst Agent 與精算 Excel 結合進行下列分析）：</w:t>
      </w:r>
    </w:p>
    <w:p>
      <w:pPr>
        <w:pStyle w:val="ListBullet"/>
      </w:pPr>
      <w:r>
        <w:t>三檔費率方案（基本 / 進階 / 尊榮）在不同失能率假設下的損失率分佈</w:t>
      </w:r>
    </w:p>
    <w:p>
      <w:pPr>
        <w:pStyle w:val="ListBullet"/>
      </w:pPr>
      <w:r>
        <w:t>保費敏感度：免責期 60 / 90 / 180 天對保費影響的試算</w:t>
      </w:r>
    </w:p>
    <w:p>
      <w:pPr>
        <w:pStyle w:val="ListBullet"/>
      </w:pPr>
      <w:r>
        <w:t>競品保費 vs. 給付金額的「CP 值」量化比較矩陣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i/>
          <w:color w:val="C00000"/>
        </w:rPr>
        <w:t>💡【此處待補：請用 Copilot 補上 本報告 Executive Summary（200 字內，含 3 個關鍵數字 + 1 個策略建議）】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