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高資產客戶投資組合季度複核範本</w:t>
      </w:r>
    </w:p>
    <w:p>
      <w:r>
        <w:rPr>
          <w:b/>
          <w:color w:val="006633"/>
        </w:rPr>
        <w:t>文件編號：</w:t>
      </w:r>
      <w:r>
        <w:t>CL-S2-PR-2026-002</w:t>
      </w:r>
    </w:p>
    <w:p>
      <w:r>
        <w:rPr>
          <w:b/>
          <w:color w:val="006633"/>
        </w:rPr>
        <w:t>撰寫人：</w:t>
      </w:r>
      <w:r>
        <w:t>Isaiah Langer（國泰世華數位金融部）</w:t>
      </w:r>
    </w:p>
    <w:p>
      <w:r>
        <w:rPr>
          <w:b/>
          <w:color w:val="006633"/>
        </w:rPr>
        <w:t>協作：</w:t>
      </w:r>
      <w:r>
        <w:t>Joni Sherman（投信量化）</w:t>
      </w:r>
    </w:p>
    <w:p>
      <w:r>
        <w:rPr>
          <w:b/>
          <w:color w:val="006633"/>
        </w:rPr>
        <w:t>適用客群：</w:t>
      </w:r>
      <w:r>
        <w:t>金卡 / 鑽卡 / 私行客戶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一、客戶資料（範例）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客戶代號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VIP-2024-08321（去識別）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風險屬性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RR4（積極穩健）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投資目標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退休準備 + 子女教育，10 年期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AUM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NT$ 2,850 萬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主要約束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0"/>
              </w:rPr>
              <w:t>不投資加密貨幣、軍工、菸草</w:t>
            </w:r>
          </w:p>
        </w:tc>
      </w:tr>
    </w:tbl>
    <w:p>
      <w:pPr>
        <w:pStyle w:val="Heading2"/>
      </w:pPr>
      <w:r>
        <w:t>二、目前資產配置（截至執行日 -7）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資產類別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市值（NT$ 萬）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佔比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偏離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全球股票（已開發）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1,140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40.0%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38%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+2.0pp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全球股票（新興）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285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10.0%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-2.0pp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全球債券（投資級）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570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20.0%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-2.0pp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全球債券（高收益）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228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8.0%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REITs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171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6.0%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+1.0pp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大宗商品 / 黃金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143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5.0%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現金 / 短票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313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11.0%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+1.0pp</w:t>
            </w:r>
          </w:p>
        </w:tc>
      </w:tr>
    </w:tbl>
    <w:p>
      <w:pPr>
        <w:pStyle w:val="Heading2"/>
      </w:pPr>
      <w:r>
        <w:t>三、關鍵績效指標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本季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上季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同期目標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達成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年化報酬率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+9.2%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+7.5%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+8.0%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年化波動度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11.8%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12.5%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≤13%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Sharpe Ratio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0.72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0.55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≥0.6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Max Drawdown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-7.4%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-9.1%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≥-10%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費用率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0.58%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0.62%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≤0.7%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✅</w:t>
            </w:r>
          </w:p>
        </w:tc>
      </w:tr>
    </w:tbl>
    <w:p>
      <w:pPr>
        <w:pStyle w:val="Heading2"/>
      </w:pPr>
      <w:r>
        <w:t>四、Analyst Agent 待計算項目</w:t>
      </w:r>
    </w:p>
    <w:p>
      <w:pPr>
        <w:pStyle w:val="ListBullet"/>
      </w:pPr>
      <w:r>
        <w:t>計算各資產類別對總組合報酬的貢獻歸因（Brinson 法）</w:t>
      </w:r>
    </w:p>
    <w:p>
      <w:pPr>
        <w:pStyle w:val="ListBullet"/>
      </w:pPr>
      <w:r>
        <w:t>與基準（60/40 全球配置）的超額報酬與資訊比率</w:t>
      </w:r>
    </w:p>
    <w:p>
      <w:pPr>
        <w:pStyle w:val="ListBullet"/>
      </w:pPr>
      <w:r>
        <w:t>若再平衡至目標權重，預估需賣出 / 買入金額</w:t>
      </w:r>
    </w:p>
    <w:p>
      <w:pPr>
        <w:pStyle w:val="ListBullet"/>
      </w:pPr>
      <w:r>
        <w:t>下一季在三種市場情境（基準 / 升息延後 / 衰退）下的預期報酬區間</w:t>
      </w:r>
    </w:p>
    <w:p>
      <w:r>
        <w:rPr>
          <w:b/>
          <w:i/>
          <w:color w:val="C00000"/>
        </w:rPr>
        <w:t>💡【此處待補：請用 Copilot 補上 客戶月報摘要段（含本季績效亮點 + 下季 1 個再平衡建議）】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