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2026 Q3 全球市場展望與配置建議</w:t>
      </w:r>
    </w:p>
    <w:p>
      <w:r>
        <w:rPr>
          <w:b/>
          <w:color w:val="006633"/>
        </w:rPr>
        <w:t>文件編號：</w:t>
      </w:r>
      <w:r>
        <w:t>CL-S2-MO-2026-001</w:t>
      </w:r>
    </w:p>
    <w:p>
      <w:r>
        <w:rPr>
          <w:b/>
          <w:color w:val="006633"/>
        </w:rPr>
        <w:t>撰寫人：</w:t>
      </w:r>
      <w:r>
        <w:t>Joni Sherman（國泰投信量化分析師）</w:t>
      </w:r>
    </w:p>
    <w:p>
      <w:r>
        <w:rPr>
          <w:b/>
          <w:color w:val="006633"/>
        </w:rPr>
        <w:t>審閱：</w:t>
      </w:r>
      <w:r>
        <w:t>Lidia Holloway（CDO）、Isaiah Langer（世華數位金融部）</w:t>
      </w:r>
    </w:p>
    <w:p>
      <w:r>
        <w:rPr>
          <w:b/>
          <w:color w:val="006633"/>
        </w:rPr>
        <w:t>撰寫日期：</w:t>
      </w:r>
      <w:r>
        <w:t>執行日 -5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一、宏觀觀點</w:t>
      </w:r>
    </w:p>
    <w:p>
      <w:r>
        <w:t>美國 Fed 於 2026 年 4 月維持利率區間 4.25-4.50%，市場預期 9 月有 25bps 降息空間。歐洲央行 6 月可能進一步降息至 2.50%。日本央行已啟動三段式升息至 0.75%，日圓有望從 158 區間回升。</w:t>
      </w:r>
    </w:p>
    <w:p>
      <w:r>
        <w:t>中國 2026 Q1 GDP 4.7%，仍處於『以舊換新』政策刺激後段，房市指標尚未明顯回穩。新興市場與台股因 AI 半導體供應鏈題材延續，預期相對抗跌。</w:t>
      </w:r>
    </w:p>
    <w:p>
      <w:pPr>
        <w:pStyle w:val="Heading2"/>
      </w:pPr>
      <w:r>
        <w:t>二、各區域配置建議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區域 / 資產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本月建議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上月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變動</w:t>
            </w:r>
          </w:p>
        </w:tc>
        <w:tc>
          <w:tcPr>
            <w:tcW w:type="dxa" w:w="1728"/>
            <w:shd w:val="clear" w:color="auto" w:fill="006633"/>
          </w:tcPr>
          <w:p>
            <w:r>
              <w:rPr>
                <w:rFonts w:ascii="Microsoft JhengHei" w:hAnsi="Microsoft JhengHei"/>
                <w:b/>
                <w:color w:val="FFFFFF"/>
                <w:sz w:val="20"/>
              </w:rPr>
              <w:t>主要邏輯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美股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中性偏多 (+2)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 (0)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AI 資本支出仍強，估值接近 5 年中位數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歐股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中性偏空 (-1)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中性偏空 (-1)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ECB 降息不確定性，工業景氣偏弱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日股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加碼 (+3)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中性偏多 (+2)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企業治理改革 + 日圓回升雙利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新興市場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 (0)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中性偏空 (-1)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美元指數見頂，資金有望回流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台股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加碼 (+3)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加碼 (+3)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AI 供應鏈本益比 16.8 仍合理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美債（長天期）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加碼 (+2)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 (0)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降息循環啟動前布局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黃金 / 大宗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 (0)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加碼 (+2)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↓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地緣政治風險溢價已反映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REITs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中性偏多 (+1)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中性 (0)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↑</w:t>
            </w:r>
          </w:p>
        </w:tc>
        <w:tc>
          <w:tcPr>
            <w:tcW w:type="dxa" w:w="1728"/>
          </w:tcPr>
          <w:p>
            <w:r>
              <w:rPr>
                <w:rFonts w:ascii="Microsoft JhengHei" w:hAnsi="Microsoft JhengHei"/>
                <w:sz w:val="20"/>
              </w:rPr>
              <w:t>降息利多 + 通膨對沖價值</w:t>
            </w:r>
          </w:p>
        </w:tc>
      </w:tr>
    </w:tbl>
    <w:p>
      <w:pPr>
        <w:pStyle w:val="Heading2"/>
      </w:pPr>
      <w:r>
        <w:t>三、關鍵變數監控</w:t>
      </w:r>
    </w:p>
    <w:p>
      <w:pPr>
        <w:pStyle w:val="ListBullet"/>
      </w:pPr>
      <w:r>
        <w:t>美國通膨：核心 PCE 維持 2.4%，須觀察是否能順利回到 2%</w:t>
      </w:r>
    </w:p>
    <w:p>
      <w:pPr>
        <w:pStyle w:val="ListBullet"/>
      </w:pPr>
      <w:r>
        <w:t>Fed 政策：6 月會議決議與點陣圖可能影響全年降息幅度</w:t>
      </w:r>
    </w:p>
    <w:p>
      <w:pPr>
        <w:pStyle w:val="ListBullet"/>
      </w:pPr>
      <w:r>
        <w:t>中國刺激：4 月底政治局會議是否擴大消費補貼</w:t>
      </w:r>
    </w:p>
    <w:p>
      <w:pPr>
        <w:pStyle w:val="ListBullet"/>
      </w:pPr>
      <w:r>
        <w:t>AI 資本支出：超大型雲服務商 Q2 財報是否維持高 capex 指引</w:t>
      </w:r>
    </w:p>
    <w:p>
      <w:pPr>
        <w:pStyle w:val="ListBullet"/>
      </w:pPr>
      <w:r>
        <w:t>地緣政治：紅海航運、台海情勢、俄烏停火進度</w:t>
      </w:r>
    </w:p>
    <w:p>
      <w:pPr>
        <w:pStyle w:val="Heading2"/>
      </w:pPr>
      <w:r>
        <w:t>四、Researcher Agent 整合題目</w:t>
      </w:r>
    </w:p>
    <w:p>
      <w:r>
        <w:t>（請於課程現場用 Researcher Agent 補上）：</w:t>
      </w:r>
    </w:p>
    <w:p>
      <w:pPr>
        <w:pStyle w:val="ListBullet"/>
      </w:pPr>
      <w:r>
        <w:t>Fed 主席 Jerome Powell 5 月最新公開談話對降息路徑的暗示</w:t>
      </w:r>
    </w:p>
    <w:p>
      <w:pPr>
        <w:pStyle w:val="ListBullet"/>
      </w:pPr>
      <w:r>
        <w:t>競品（中信、富邦、永豐）4 月私行月報的差異觀點</w:t>
      </w:r>
    </w:p>
    <w:p>
      <w:pPr>
        <w:pStyle w:val="ListBullet"/>
      </w:pPr>
      <w:r>
        <w:t>最新 BofA Fund Manager Survey 對全球資金流向的反映</w:t>
      </w:r>
    </w:p>
    <w:p>
      <w:pPr>
        <w:pStyle w:val="ListBullet"/>
      </w:pPr>
      <w:r>
        <w:t>Bridgewater、橋水基金 5 月最新市場觀點（公開資料）</w:t>
      </w:r>
    </w:p>
    <w:p>
      <w:r>
        <w:rPr>
          <w:b/>
          <w:i/>
          <w:color w:val="C00000"/>
        </w:rPr>
        <w:t>💡【此處待補：請用 Copilot 補上 本展望的 1 頁 Executive Summary（含 3 個資產類別建議 + 2 個風險提醒）】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