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33"/>
        </w:rPr>
        <w:t>國泰金控 2026 Q1 法令遵循執行摘要</w:t>
      </w:r>
    </w:p>
    <w:p>
      <w:r>
        <w:rPr>
          <w:b/>
          <w:color w:val="006633"/>
        </w:rPr>
        <w:t>文件編號：</w:t>
      </w:r>
      <w:r>
        <w:t>CL-S3-CS-2026-003</w:t>
      </w:r>
    </w:p>
    <w:p>
      <w:r>
        <w:rPr>
          <w:b/>
          <w:color w:val="006633"/>
        </w:rPr>
        <w:t>撰寫人：</w:t>
      </w:r>
      <w:r>
        <w:t>Johanna Lorenz（法遵稽核經理）</w:t>
      </w:r>
    </w:p>
    <w:p>
      <w:r>
        <w:rPr>
          <w:b/>
          <w:color w:val="006633"/>
        </w:rPr>
        <w:t>呈送對象：</w:t>
      </w:r>
      <w:r>
        <w:t>稽核委員會、獨立董事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一、本季重大法規異動追蹤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編號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法規名稱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公布日期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影響等級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負責子公司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R-2026-001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保險業辦理電子商務應注意事項修正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2026/2/15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🔴 高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人壽 / 產險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R-2026-002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金融機構 AI 應用治理指引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2026/3/1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🟡 中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全集團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R-2026-003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永續金融揭露準則 2.0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2026/3/28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🟡 中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金控 / 投信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R-2026-004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個人資料保護法施行細則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2026/4/12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🟡 中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全集團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R-2026-005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外匯管理及投資型保單規範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2026/4/22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🟢 低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人壽</w:t>
            </w:r>
          </w:p>
        </w:tc>
      </w:tr>
    </w:tbl>
    <w:p>
      <w:pPr>
        <w:pStyle w:val="Heading2"/>
      </w:pPr>
      <w:r>
        <w:t>二、本季稽核發現重點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發現等級</w:t>
            </w:r>
          </w:p>
        </w:tc>
        <w:tc>
          <w:tcPr>
            <w:tcW w:type="dxa" w:w="216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本季件數</w:t>
            </w:r>
          </w:p>
        </w:tc>
        <w:tc>
          <w:tcPr>
            <w:tcW w:type="dxa" w:w="216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上季</w:t>
            </w:r>
          </w:p>
        </w:tc>
        <w:tc>
          <w:tcPr>
            <w:tcW w:type="dxa" w:w="216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變動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🔴 重大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↓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🟡 一般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↓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🟢 改進建議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47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52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↓</w:t>
            </w:r>
          </w:p>
        </w:tc>
      </w:tr>
    </w:tbl>
    <w:p>
      <w:pPr>
        <w:pStyle w:val="Heading2"/>
      </w:pPr>
      <w:r>
        <w:t>三、待 Researcher / Analyst 補強</w:t>
      </w:r>
    </w:p>
    <w:p>
      <w:pPr>
        <w:pStyle w:val="ListBullet"/>
      </w:pPr>
      <w:r>
        <w:t>Researcher：金管會 2026 年金檢計畫重點（公開資料）整合</w:t>
      </w:r>
    </w:p>
    <w:p>
      <w:pPr>
        <w:pStyle w:val="ListBullet"/>
      </w:pPr>
      <w:r>
        <w:t>Researcher：巴塞爾 III 終局版對台灣銀行業的最新影響評估</w:t>
      </w:r>
    </w:p>
    <w:p>
      <w:pPr>
        <w:pStyle w:val="ListBullet"/>
      </w:pPr>
      <w:r>
        <w:t>Analyst：本季 STR、KYC、CDD 三大指標在子公司間的對比熱圖</w:t>
      </w:r>
    </w:p>
    <w:p>
      <w:pPr>
        <w:pStyle w:val="ListBullet"/>
      </w:pPr>
      <w:r>
        <w:t>Analyst：與業界平均（金融研訓院公開資料）的 benchmark gap 量化</w:t>
      </w:r>
    </w:p>
    <w:p>
      <w:r>
        <w:rPr>
          <w:b/>
          <w:i/>
          <w:color w:val="C00000"/>
        </w:rPr>
        <w:t>💡【此處待補：請用 Copilot 補上 下季 3 大法遵優先工作（含資源需求與時程）】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