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AML / 防制洗錢 2026 Q1 風險評估報告</w:t>
      </w:r>
    </w:p>
    <w:p>
      <w:r>
        <w:rPr>
          <w:b/>
          <w:color w:val="006633"/>
        </w:rPr>
        <w:t>文件編號：</w:t>
      </w:r>
      <w:r>
        <w:t>CL-S3-AM-2026-002</w:t>
      </w:r>
    </w:p>
    <w:p>
      <w:r>
        <w:rPr>
          <w:b/>
          <w:color w:val="006633"/>
        </w:rPr>
        <w:t>撰寫人：</w:t>
      </w:r>
      <w:r>
        <w:t>Johanna Lorenz（法遵稽核經理）</w:t>
      </w:r>
    </w:p>
    <w:p>
      <w:r>
        <w:rPr>
          <w:b/>
          <w:color w:val="006633"/>
        </w:rPr>
        <w:t>協辦：</w:t>
      </w:r>
      <w:r>
        <w:t>Irvin Sayers（風險管理）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一、本季可疑交易申報（STR）統計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子公司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監測警示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覆核後申報 STR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誤報率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國泰世華銀行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12,485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428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96.6%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國泰人壽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1,243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96.7%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國泰投信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385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96.9%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國泰證券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642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95.6%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合計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14,755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509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96.6%</w:t>
            </w:r>
          </w:p>
        </w:tc>
      </w:tr>
    </w:tbl>
    <w:p>
      <w:pPr>
        <w:pStyle w:val="Heading2"/>
      </w:pPr>
      <w:r>
        <w:t>二、新興 AML 風險主題</w:t>
      </w:r>
    </w:p>
    <w:p>
      <w:pPr>
        <w:pStyle w:val="ListBullet"/>
      </w:pPr>
      <w:r>
        <w:t>虛擬資產服務商（VASP）灰色地帶交易：數位錢包對接傳統金融帳戶（持續上升）</w:t>
      </w:r>
    </w:p>
    <w:p>
      <w:pPr>
        <w:pStyle w:val="ListBullet"/>
      </w:pPr>
      <w:r>
        <w:t>AI 生成合成身分（synthetic ID）開戶：本季偵測 17 起，較上季 +183%</w:t>
      </w:r>
    </w:p>
    <w:p>
      <w:pPr>
        <w:pStyle w:val="ListBullet"/>
      </w:pPr>
      <w:r>
        <w:t>跨境快速轉帳濫用（特別是新南向 / 東南亞穩定幣管道）</w:t>
      </w:r>
    </w:p>
    <w:p>
      <w:pPr>
        <w:pStyle w:val="ListBullet"/>
      </w:pPr>
      <w:r>
        <w:t>公司型保險商品（如躉繳投資型）異常解約洗錢</w:t>
      </w:r>
    </w:p>
    <w:p>
      <w:pPr>
        <w:pStyle w:val="Heading2"/>
      </w:pPr>
      <w:r>
        <w:t>三、AI / 機器學習偵測效能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F1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上線時間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規則引擎（既有）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3.4%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62%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0.064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2018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XGBoost v2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11.8%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78%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0.205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2024 Q3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GraphML（新）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18.5%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82%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0.301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2025 Q4 試行</w:t>
            </w:r>
          </w:p>
        </w:tc>
      </w:tr>
    </w:tbl>
    <w:p>
      <w:r>
        <w:rPr>
          <w:b/>
          <w:i/>
          <w:color w:val="C00000"/>
        </w:rPr>
        <w:t>💡【此處待補：請用 Copilot 補上 本季 STR 重點案例摘要（去識別化，3 個典型樣態）】</w:t>
      </w:r>
    </w:p>
    <w:p>
      <w:r>
        <w:rPr>
          <w:b/>
          <w:i/>
          <w:color w:val="C00000"/>
        </w:rPr>
        <w:t>💡【此處待補：請用 Copilot 補上 下季 AML 強化重點（含新規衝擊與內部資源建議）】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