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33"/>
        </w:rPr>
        <w:t>IFRS17 / ICS 2.0 第二年度影響評估備忘錄</w:t>
      </w:r>
    </w:p>
    <w:p>
      <w:r>
        <w:rPr>
          <w:b/>
          <w:color w:val="006633"/>
        </w:rPr>
        <w:t>文件編號：</w:t>
      </w:r>
      <w:r>
        <w:t>CL-S3-IF-2026-001</w:t>
      </w:r>
    </w:p>
    <w:p>
      <w:r>
        <w:rPr>
          <w:b/>
          <w:color w:val="006633"/>
        </w:rPr>
        <w:t>撰寫人：</w:t>
      </w:r>
      <w:r>
        <w:t>Irvin Sayers（風險管理副理）</w:t>
      </w:r>
    </w:p>
    <w:p>
      <w:r>
        <w:rPr>
          <w:b/>
          <w:color w:val="006633"/>
        </w:rPr>
        <w:t>協辦：</w:t>
      </w:r>
      <w:r>
        <w:t>Johanna Lorenz（法令遵循處）</w:t>
      </w:r>
    </w:p>
    <w:p>
      <w:r>
        <w:rPr>
          <w:b/>
          <w:color w:val="006633"/>
        </w:rPr>
        <w:t>呈送對象：</w:t>
      </w:r>
      <w:r>
        <w:t>風險委員會、董事會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一、IFRS17 / ICS 2.0 兩年來的關鍵影響</w:t>
      </w:r>
    </w:p>
    <w:p>
      <w:r>
        <w:t>本公司於 2025/1/1 同步導入 IFRS17 與 ICS 2.0。第一年度自有資本佔風險資本比率（資本適足率）從台版 RBC 的 320% 平移至 ICS 的 178%，第二年度 Q1 進一步因利率波動降至 165%，雖仍高於 100% 監理門檻，但與業界平均 195% 已有差距。</w:t>
      </w:r>
    </w:p>
    <w:p>
      <w:pPr>
        <w:pStyle w:val="Heading2"/>
      </w:pPr>
      <w:r>
        <w:t>二、關鍵指標趨勢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2025/Q1</w:t>
            </w:r>
          </w:p>
        </w:tc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2025/Q4</w:t>
            </w:r>
          </w:p>
        </w:tc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2026/Q1</w:t>
            </w:r>
          </w:p>
        </w:tc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監理門檻</w:t>
            </w:r>
          </w:p>
        </w:tc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業界平均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ICS 資本適足率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178%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172%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165%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195%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CSM（合約服務邊際）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382 億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405 億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418 億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未來保險服務利潤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412 億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428 億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439 億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利率風險暴險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中高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高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對沖比率（利率）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62%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68%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72%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≥60%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75%</w:t>
            </w:r>
          </w:p>
        </w:tc>
      </w:tr>
    </w:tbl>
    <w:p>
      <w:pPr>
        <w:pStyle w:val="Heading2"/>
      </w:pPr>
      <w:r>
        <w:t>三、與舊版 RBC 比較</w:t>
      </w:r>
    </w:p>
    <w:p>
      <w:r>
        <w:t>舊版 RBC 主要差異：(1) 折現率採市場利率而非鎖定利率；(2) 風險邊際以信賴區間 75% 計算（舊版為 60%）；(3) 新增營運風險、長壽風險的明確壓力測試要求。此三項合計推升所需資本約 NT$ 720 億。</w:t>
      </w:r>
    </w:p>
    <w:p>
      <w:pPr>
        <w:pStyle w:val="Heading2"/>
      </w:pPr>
      <w:r>
        <w:t>四、待 Researcher Agent 整合的外部資料</w:t>
      </w:r>
    </w:p>
    <w:p>
      <w:pPr>
        <w:pStyle w:val="ListBullet"/>
      </w:pPr>
      <w:r>
        <w:t>金管會保險局 2026 年 4 月最新監理函釋 / 公開談話</w:t>
      </w:r>
    </w:p>
    <w:p>
      <w:pPr>
        <w:pStyle w:val="ListBullet"/>
      </w:pPr>
      <w:r>
        <w:t>亞洲三大同業（友邦、保誠、安達）IFRS17 第二年度揭露重點</w:t>
      </w:r>
    </w:p>
    <w:p>
      <w:pPr>
        <w:pStyle w:val="ListBullet"/>
      </w:pPr>
      <w:r>
        <w:t>巴塞爾 III 終局版（Basel III Endgame）對銀行子公司資本要求的最新影響</w:t>
      </w:r>
    </w:p>
    <w:p>
      <w:pPr>
        <w:pStyle w:val="ListBullet"/>
      </w:pPr>
      <w:r>
        <w:t>FSB 2026 年最新 G-SII（系統重要性保險）名單異動</w:t>
      </w:r>
    </w:p>
    <w:p>
      <w:r>
        <w:rPr>
          <w:b/>
          <w:i/>
          <w:color w:val="C00000"/>
        </w:rPr>
        <w:t>💡【此處待補：請用 Copilot 補上 本備忘錄總結（含未來 12 個月 3 大法遵風險 + 1 項提案）】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