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全球 Fintech 同業數位能力比較研究</w:t>
      </w:r>
    </w:p>
    <w:p>
      <w:r>
        <w:rPr>
          <w:b/>
          <w:color w:val="006633"/>
        </w:rPr>
        <w:t>文件編號：</w:t>
      </w:r>
      <w:r>
        <w:t>CL-S4-FB-2026-002</w:t>
      </w:r>
    </w:p>
    <w:p>
      <w:r>
        <w:rPr>
          <w:b/>
          <w:color w:val="006633"/>
        </w:rPr>
        <w:t>撰寫人：</w:t>
      </w:r>
      <w:r>
        <w:t>Isaiah Langer（世華 / 數位金融部）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一、九家比較對象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國家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特徵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本案借鏡重點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DBS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新加坡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亞洲數位銀行領導者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Customer Journey Lab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JPMorgan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美國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全球最大 IT 預算 ($17B/yr)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GenAI 治理框架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UBS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瑞士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私行 AI 投資建議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Hybrid advisor model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Goldman Marcus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美國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純數位消金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Onboarding 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Revolut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英國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Super App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通路整合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Nubank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巴西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新興市場數位銀行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客戶獲取成本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Ping An Tech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中國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保險科技規模化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理賠 AI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MUFG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日本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傳統銀行轉型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雲遷移路徑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KakaoBank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韓國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通訊軟體切入金融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行動體驗</w:t>
            </w:r>
          </w:p>
        </w:tc>
      </w:tr>
    </w:tbl>
    <w:p>
      <w:pPr>
        <w:pStyle w:val="Heading2"/>
      </w:pPr>
      <w:r>
        <w:t>二、五大能力維度評分（5 分制）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雲端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資料/AI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客戶體驗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Open API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資安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DBS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JPMorgan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UBS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國泰集團（現況）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國泰集團（2028 目標）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</w:t>
            </w:r>
          </w:p>
        </w:tc>
      </w:tr>
    </w:tbl>
    <w:p>
      <w:r>
        <w:rPr>
          <w:b/>
          <w:i/>
          <w:color w:val="C00000"/>
        </w:rPr>
        <w:t>💡【此處待補：請用 Copilot 補上 Top 3 我們可立即學習的具體做法（含投入估計）】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