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投融資組合 2050 淨零路徑研究</w:t>
      </w:r>
    </w:p>
    <w:p>
      <w:r>
        <w:rPr>
          <w:b/>
          <w:color w:val="006633"/>
        </w:rPr>
        <w:t>文件編號：</w:t>
      </w:r>
      <w:r>
        <w:t>CL-S5-NZ-2026-002</w:t>
      </w:r>
    </w:p>
    <w:p>
      <w:r>
        <w:rPr>
          <w:b/>
          <w:color w:val="006633"/>
        </w:rPr>
        <w:t>撰寫人：</w:t>
      </w:r>
      <w:r>
        <w:t>Joni Sherman（投信）</w:t>
      </w:r>
    </w:p>
    <w:p>
      <w:r>
        <w:rPr>
          <w:b/>
          <w:color w:val="006633"/>
        </w:rPr>
        <w:t>協作：</w:t>
      </w:r>
      <w:r>
        <w:t>Irvin Sayers（風險管理）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一、SBTi 高碳產業金融機構準則 (FI 1.0)</w:t>
      </w:r>
    </w:p>
    <w:p>
      <w:r>
        <w:t>本公司於 2024/8 提交 SBTi 承諾，於 2025/12 完成驗證。涵蓋四大產業（電力、石化、水泥、鋼鐵），其餘產業採用 PCAF 整體強度法。本研究檢視 2026-2030 五年路徑可行性。</w:t>
      </w:r>
    </w:p>
    <w:p>
      <w:pPr>
        <w:pStyle w:val="Heading2"/>
      </w:pPr>
      <w:r>
        <w:t>二、四大高碳產業曝險現況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產業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投資金額 (億)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WACI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與基準比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減碳路徑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電力（火力）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85.2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385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高 +18%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2030 -45%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石化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62.1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212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 +5%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2030 -32%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水泥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18.4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528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高 +24%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2030 -38%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鋼鐵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31.6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415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高 +12%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2030 -42%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合計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197.3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</w:tbl>
    <w:p>
      <w:pPr>
        <w:pStyle w:val="Heading2"/>
      </w:pPr>
      <w:r>
        <w:t>三、Analyst Agent 整合題目</w:t>
      </w:r>
    </w:p>
    <w:p>
      <w:pPr>
        <w:pStyle w:val="ListBullet"/>
      </w:pPr>
      <w:r>
        <w:t>情境分析：1.5°C / 2°C / 延誤轉型三情境下的 5 年累積投資損失</w:t>
      </w:r>
    </w:p>
    <w:p>
      <w:pPr>
        <w:pStyle w:val="ListBullet"/>
      </w:pPr>
      <w:r>
        <w:t>個別發行人轉型評分（CA100+, TPI, ISS）整合計算</w:t>
      </w:r>
    </w:p>
    <w:p>
      <w:pPr>
        <w:pStyle w:val="ListBullet"/>
      </w:pPr>
      <w:r>
        <w:t>綠色金融餘額成長 vs. 高碳曝險下降的『雙軸』達標監控</w:t>
      </w:r>
    </w:p>
    <w:p>
      <w:r>
        <w:rPr>
          <w:b/>
          <w:i/>
          <w:color w:val="C00000"/>
        </w:rPr>
        <w:t>💡【此處待補：請用 Copilot 補上 本研究結論段（含 3 個關鍵風險 + 1 個年度行動計畫）】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