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96"/>
        <w:jc w:val="left"/>
      </w:pPr>
      <w:r>
        <w:t>Gateway Process Evidence Review and Learning Guide</w:t>
      </w:r>
    </w:p>
    <w:p>
      <w:r>
        <w:br w:type="page"/>
      </w:r>
    </w:p>
    <w:p>
      <w:pPr>
        <w:pStyle w:val="Heading1"/>
      </w:pPr>
      <w:r>
        <w:t>Purpose and bottom line</w:t>
      </w:r>
    </w:p>
    <w:p>
      <w:r>
        <w:t xml:space="preserve">The 1983 </w:t>
      </w:r>
      <w:r>
        <w:rPr>
          <w:i/>
        </w:rPr>
        <w:t>Analysis and Assessment of Gateway Process</w:t>
      </w:r>
      <w:r>
        <w:t xml:space="preserve"> is best read as a historically interesting Army officer’s attempt to connect a consciousness-training program with physiology, psychology, physics, parapsychology, and religious philosophy. It is not a CIA scientific finding. The memorandum was written within the U.S. Army Intelligence and Security Command, later held and released through CIA records, and preserved by the U.S. Government Publishing Office.</w:t>
      </w:r>
      <w:r>
        <w:t/>
      </w:r>
      <w:r>
        <w:footnoteReference w:id="1"/>
      </w:r>
      <w:r>
        <w:t xml:space="preserve"> Declassification makes a record public; it does not certify every proposition in it.</w:t>
      </w:r>
    </w:p>
    <w:p>
      <w:r>
        <w:t>Four conclusions organize this review.</w:t>
      </w:r>
    </w:p>
    <w:p>
      <w:pPr>
        <w:ind w:left="403" w:hanging="317"/>
      </w:pPr>
      <w:r>
        <w:t xml:space="preserve">1. </w:t>
      </w:r>
      <w:r>
        <w:rPr>
          <w:b/>
        </w:rPr>
        <w:t>The experiential core is plausible.</w:t>
      </w:r>
      <w:r>
        <w:t xml:space="preserve"> Relaxation, focused attention, suggestion, imagery, expectancy, vocalization, and repeated practice can alter subjective experience. Related methods can help some people with stress, pain, or self-regulation in specific settings.</w:t>
      </w:r>
    </w:p>
    <w:p>
      <w:pPr>
        <w:ind w:left="403" w:hanging="317"/>
      </w:pPr>
      <w:r>
        <w:t xml:space="preserve">2. </w:t>
      </w:r>
      <w:r>
        <w:rPr>
          <w:b/>
        </w:rPr>
        <w:t>The audio evidence is mixed and bounded.</w:t>
      </w:r>
      <w:r>
        <w:t xml:space="preserve"> Binaural beats can generate measurable auditory responses, and pooled studies report some modest psychological outcomes, but reliable whole-brain entrainment is unsettled. Small Hemi-Sync trials report both positive and null clinical findings. None tests the full Gateway course’s extraordinary claims.</w:t>
      </w:r>
    </w:p>
    <w:p>
      <w:pPr>
        <w:ind w:left="403" w:hanging="317"/>
      </w:pPr>
      <w:r>
        <w:t xml:space="preserve">3. </w:t>
      </w:r>
      <w:r>
        <w:rPr>
          <w:b/>
        </w:rPr>
        <w:t>The physical explanation does not hold together as a demonstrated theory.</w:t>
      </w:r>
      <w:r>
        <w:t xml:space="preserve"> The report repeatedly moves from analogy to mechanism. It treats different kinds of “energy” and “frequency” as interchangeable, proposes an unsupported coupling between the body and the Earth-ionosphere cavity, and makes a dimensional error by describing the Planck length as a speed threshold for leaving space and time.</w:t>
      </w:r>
    </w:p>
    <w:p>
      <w:pPr>
        <w:ind w:left="403" w:hanging="317"/>
      </w:pPr>
      <w:r>
        <w:t xml:space="preserve">4. </w:t>
      </w:r>
      <w:r>
        <w:rPr>
          <w:b/>
        </w:rPr>
        <w:t>Extraordinary information claims remain contested and operationally unreliable.</w:t>
      </w:r>
      <w:r>
        <w:t xml:space="preserve"> Some remote-viewing literature reports statistically nonchance effects, including favorable reviews. Critical reviewers argue that independence, replication, judging, and procedural artifacts remain unresolved. The intelligence program’s practical assessment found the output too unreliable for actionable use.</w:t>
      </w:r>
    </w:p>
    <w:p>
      <w:r>
        <w:t xml:space="preserve">The constructive way to work with Gateway is to preserve curiosity while separating three questions: </w:t>
      </w:r>
      <w:r>
        <w:rPr>
          <w:b/>
        </w:rPr>
        <w:t>What did I experience? What mechanism might explain it? Did it reveal independently verifiable information?</w:t>
      </w:r>
      <w:r>
        <w:t xml:space="preserve"> A vivid experience can be psychologically real without proving a paranormal explanation. A useful relaxation method can remain useful even if its cosmology is wrong.</w:t>
      </w:r>
    </w:p>
    <w:p>
      <w:pPr>
        <w:pStyle w:val="Heading1"/>
      </w:pPr>
      <w:r>
        <w:t>Executive evidence matrix</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26"/>
        <w:gridCol w:w="2426"/>
        <w:gridCol w:w="2426"/>
        <w:gridCol w:w="2426"/>
      </w:tblGrid>
      <w:tr>
        <w:trPr>
          <w:tblHeader w:val="true"/>
        </w:trPr>
        <w:tc>
          <w:tcPr>
            <w:tcW w:type="dxa" w:w="2426"/>
            <w:vAlign w:val="center"/>
            <w:tcMar>
              <w:top w:w="90" w:type="dxa"/>
              <w:start w:w="110" w:type="dxa"/>
              <w:bottom w:w="90" w:type="dxa"/>
              <w:end w:w="110" w:type="dxa"/>
            </w:tcMar>
            <w:shd w:fill="17365D"/>
          </w:tcPr>
          <w:p>
            <w:pPr>
              <w:spacing w:after="0"/>
            </w:pPr>
            <w:r>
              <w:rPr>
                <w:rFonts w:ascii="Aptos" w:hAnsi="Aptos"/>
                <w:b/>
                <w:color w:val="FFFFFF"/>
                <w:sz w:val="17"/>
              </w:rPr>
              <w:t>Topic</w:t>
            </w:r>
          </w:p>
        </w:tc>
        <w:tc>
          <w:tcPr>
            <w:tcW w:type="dxa" w:w="2426"/>
            <w:vAlign w:val="center"/>
            <w:tcMar>
              <w:top w:w="90" w:type="dxa"/>
              <w:start w:w="110" w:type="dxa"/>
              <w:bottom w:w="90" w:type="dxa"/>
              <w:end w:w="110" w:type="dxa"/>
            </w:tcMar>
            <w:shd w:fill="17365D"/>
          </w:tcPr>
          <w:p>
            <w:pPr>
              <w:spacing w:after="0"/>
            </w:pPr>
            <w:r>
              <w:rPr>
                <w:rFonts w:ascii="Aptos" w:hAnsi="Aptos"/>
                <w:b/>
                <w:color w:val="FFFFFF"/>
                <w:sz w:val="17"/>
              </w:rPr>
              <w:t>What the evidence supports</w:t>
            </w:r>
          </w:p>
        </w:tc>
        <w:tc>
          <w:tcPr>
            <w:tcW w:type="dxa" w:w="2426"/>
            <w:vAlign w:val="center"/>
            <w:tcMar>
              <w:top w:w="90" w:type="dxa"/>
              <w:start w:w="110" w:type="dxa"/>
              <w:bottom w:w="90" w:type="dxa"/>
              <w:end w:w="110" w:type="dxa"/>
            </w:tcMar>
            <w:shd w:fill="17365D"/>
          </w:tcPr>
          <w:p>
            <w:pPr>
              <w:spacing w:after="0"/>
            </w:pPr>
            <w:r>
              <w:rPr>
                <w:rFonts w:ascii="Aptos" w:hAnsi="Aptos"/>
                <w:b/>
                <w:color w:val="FFFFFF"/>
                <w:sz w:val="17"/>
              </w:rPr>
              <w:t>What does not follow</w:t>
            </w:r>
          </w:p>
        </w:tc>
        <w:tc>
          <w:tcPr>
            <w:tcW w:type="dxa" w:w="2426"/>
            <w:vAlign w:val="center"/>
            <w:tcMar>
              <w:top w:w="90" w:type="dxa"/>
              <w:start w:w="110" w:type="dxa"/>
              <w:bottom w:w="90" w:type="dxa"/>
              <w:end w:w="110" w:type="dxa"/>
            </w:tcMar>
            <w:shd w:fill="17365D"/>
          </w:tcPr>
          <w:p>
            <w:pPr>
              <w:spacing w:after="0"/>
            </w:pPr>
            <w:r>
              <w:rPr>
                <w:rFonts w:ascii="Aptos" w:hAnsi="Aptos"/>
                <w:b/>
                <w:color w:val="FFFFFF"/>
                <w:sz w:val="17"/>
              </w:rPr>
              <w:t>Assessment</w:t>
            </w:r>
          </w:p>
        </w:tc>
      </w:tr>
      <w:tr>
        <w:tc>
          <w:tcPr>
            <w:tcW w:type="dxa" w:w="2426"/>
            <w:vAlign w:val="center"/>
            <w:tcMar>
              <w:top w:w="90" w:type="dxa"/>
              <w:start w:w="110" w:type="dxa"/>
              <w:bottom w:w="90" w:type="dxa"/>
              <w:end w:w="110" w:type="dxa"/>
            </w:tcMar>
          </w:tcPr>
          <w:p>
            <w:pPr>
              <w:spacing w:after="0"/>
            </w:pPr>
            <w:r>
              <w:rPr>
                <w:rFonts w:ascii="Aptos" w:hAnsi="Aptos"/>
                <w:sz w:val="17"/>
              </w:rPr>
              <w:t>Relaxation and attention</w:t>
            </w:r>
          </w:p>
        </w:tc>
        <w:tc>
          <w:tcPr>
            <w:tcW w:type="dxa" w:w="2426"/>
            <w:vAlign w:val="center"/>
            <w:tcMar>
              <w:top w:w="90" w:type="dxa"/>
              <w:start w:w="110" w:type="dxa"/>
              <w:bottom w:w="90" w:type="dxa"/>
              <w:end w:w="110" w:type="dxa"/>
            </w:tcMar>
          </w:tcPr>
          <w:p>
            <w:pPr>
              <w:spacing w:after="0"/>
            </w:pPr>
            <w:r>
              <w:rPr>
                <w:rFonts w:ascii="Aptos" w:hAnsi="Aptos"/>
                <w:sz w:val="17"/>
              </w:rPr>
              <w:t>Mental and bodily states change with breathing, attention, imagery, suggestion, and practice</w:t>
            </w:r>
          </w:p>
        </w:tc>
        <w:tc>
          <w:tcPr>
            <w:tcW w:type="dxa" w:w="2426"/>
            <w:vAlign w:val="center"/>
            <w:tcMar>
              <w:top w:w="90" w:type="dxa"/>
              <w:start w:w="110" w:type="dxa"/>
              <w:bottom w:w="90" w:type="dxa"/>
              <w:end w:w="110" w:type="dxa"/>
            </w:tcMar>
          </w:tcPr>
          <w:p>
            <w:pPr>
              <w:spacing w:after="0"/>
            </w:pPr>
            <w:r>
              <w:rPr>
                <w:rFonts w:ascii="Aptos" w:hAnsi="Aptos"/>
                <w:sz w:val="17"/>
              </w:rPr>
              <w:t>Every described “Focus” level is a unique, independently validated state</w:t>
            </w:r>
          </w:p>
        </w:tc>
        <w:tc>
          <w:tcPr>
            <w:tcW w:type="dxa" w:w="2426"/>
            <w:vAlign w:val="center"/>
            <w:tcMar>
              <w:top w:w="90" w:type="dxa"/>
              <w:start w:w="110" w:type="dxa"/>
              <w:bottom w:w="90" w:type="dxa"/>
              <w:end w:w="110" w:type="dxa"/>
            </w:tcMar>
          </w:tcPr>
          <w:p>
            <w:pPr>
              <w:spacing w:after="0"/>
            </w:pPr>
            <w:r>
              <w:rPr>
                <w:rFonts w:ascii="Aptos" w:hAnsi="Aptos"/>
                <w:sz w:val="17"/>
              </w:rPr>
              <w:t>Credible core, broad individual variation</w:t>
            </w:r>
          </w:p>
        </w:tc>
      </w:tr>
      <w:tr>
        <w:tc>
          <w:tcPr>
            <w:tcW w:type="dxa" w:w="2426"/>
            <w:vAlign w:val="center"/>
            <w:tcMar>
              <w:top w:w="90" w:type="dxa"/>
              <w:start w:w="110" w:type="dxa"/>
              <w:bottom w:w="90" w:type="dxa"/>
              <w:end w:w="110" w:type="dxa"/>
            </w:tcMar>
            <w:shd w:fill="EEF5FA"/>
          </w:tcPr>
          <w:p>
            <w:pPr>
              <w:spacing w:after="0"/>
            </w:pPr>
            <w:r>
              <w:rPr>
                <w:rFonts w:ascii="Aptos" w:hAnsi="Aptos"/>
                <w:sz w:val="17"/>
              </w:rPr>
              <w:t>Binaural beats</w:t>
            </w:r>
          </w:p>
        </w:tc>
        <w:tc>
          <w:tcPr>
            <w:tcW w:type="dxa" w:w="2426"/>
            <w:vAlign w:val="center"/>
            <w:tcMar>
              <w:top w:w="90" w:type="dxa"/>
              <w:start w:w="110" w:type="dxa"/>
              <w:bottom w:w="90" w:type="dxa"/>
              <w:end w:w="110" w:type="dxa"/>
            </w:tcMar>
            <w:shd w:fill="EEF5FA"/>
          </w:tcPr>
          <w:p>
            <w:pPr>
              <w:spacing w:after="0"/>
            </w:pPr>
            <w:r>
              <w:rPr>
                <w:rFonts w:ascii="Aptos" w:hAnsi="Aptos"/>
                <w:sz w:val="17"/>
              </w:rPr>
              <w:t>Auditory responses occur; some studies report modest changes in pain, anxiety, or cognition</w:t>
            </w:r>
          </w:p>
        </w:tc>
        <w:tc>
          <w:tcPr>
            <w:tcW w:type="dxa" w:w="2426"/>
            <w:vAlign w:val="center"/>
            <w:tcMar>
              <w:top w:w="90" w:type="dxa"/>
              <w:start w:w="110" w:type="dxa"/>
              <w:bottom w:w="90" w:type="dxa"/>
              <w:end w:w="110" w:type="dxa"/>
            </w:tcMar>
            <w:shd w:fill="EEF5FA"/>
          </w:tcPr>
          <w:p>
            <w:pPr>
              <w:spacing w:after="0"/>
            </w:pPr>
            <w:r>
              <w:rPr>
                <w:rFonts w:ascii="Aptos" w:hAnsi="Aptos"/>
                <w:sz w:val="17"/>
              </w:rPr>
              <w:t>A beat percept automatically creates global hemispheric synchronization or special knowledge</w:t>
            </w:r>
          </w:p>
        </w:tc>
        <w:tc>
          <w:tcPr>
            <w:tcW w:type="dxa" w:w="2426"/>
            <w:vAlign w:val="center"/>
            <w:tcMar>
              <w:top w:w="90" w:type="dxa"/>
              <w:start w:w="110" w:type="dxa"/>
              <w:bottom w:w="90" w:type="dxa"/>
              <w:end w:w="110" w:type="dxa"/>
            </w:tcMar>
            <w:shd w:fill="EEF5FA"/>
          </w:tcPr>
          <w:p>
            <w:pPr>
              <w:spacing w:after="0"/>
            </w:pPr>
            <w:r>
              <w:rPr>
                <w:rFonts w:ascii="Aptos" w:hAnsi="Aptos"/>
                <w:sz w:val="17"/>
              </w:rPr>
              <w:t>Mixed and method-dependent</w:t>
            </w:r>
          </w:p>
        </w:tc>
      </w:tr>
      <w:tr>
        <w:tc>
          <w:tcPr>
            <w:tcW w:type="dxa" w:w="2426"/>
            <w:vAlign w:val="center"/>
            <w:tcMar>
              <w:top w:w="90" w:type="dxa"/>
              <w:start w:w="110" w:type="dxa"/>
              <w:bottom w:w="90" w:type="dxa"/>
              <w:end w:w="110" w:type="dxa"/>
            </w:tcMar>
          </w:tcPr>
          <w:p>
            <w:pPr>
              <w:spacing w:after="0"/>
            </w:pPr>
            <w:r>
              <w:rPr>
                <w:rFonts w:ascii="Aptos" w:hAnsi="Aptos"/>
                <w:sz w:val="17"/>
              </w:rPr>
              <w:t>Hemi-Sync</w:t>
            </w:r>
          </w:p>
        </w:tc>
        <w:tc>
          <w:tcPr>
            <w:tcW w:type="dxa" w:w="2426"/>
            <w:vAlign w:val="center"/>
            <w:tcMar>
              <w:top w:w="90" w:type="dxa"/>
              <w:start w:w="110" w:type="dxa"/>
              <w:bottom w:w="90" w:type="dxa"/>
              <w:end w:w="110" w:type="dxa"/>
            </w:tcMar>
          </w:tcPr>
          <w:p>
            <w:pPr>
              <w:spacing w:after="0"/>
            </w:pPr>
            <w:r>
              <w:rPr>
                <w:rFonts w:ascii="Aptos" w:hAnsi="Aptos"/>
                <w:sz w:val="17"/>
              </w:rPr>
              <w:t>Two small surgical trials provide one positive analgesic result and one null anesthetic result</w:t>
            </w:r>
          </w:p>
        </w:tc>
        <w:tc>
          <w:tcPr>
            <w:tcW w:type="dxa" w:w="2426"/>
            <w:vAlign w:val="center"/>
            <w:tcMar>
              <w:top w:w="90" w:type="dxa"/>
              <w:start w:w="110" w:type="dxa"/>
              <w:bottom w:w="90" w:type="dxa"/>
              <w:end w:w="110" w:type="dxa"/>
            </w:tcMar>
          </w:tcPr>
          <w:p>
            <w:pPr>
              <w:spacing w:after="0"/>
            </w:pPr>
            <w:r>
              <w:rPr>
                <w:rFonts w:ascii="Aptos" w:hAnsi="Aptos"/>
                <w:sz w:val="17"/>
              </w:rPr>
              <w:t>Product-specific evidence validates the complete Gateway sequence, out-of-body travel, or remote viewing</w:t>
            </w:r>
          </w:p>
        </w:tc>
        <w:tc>
          <w:tcPr>
            <w:tcW w:type="dxa" w:w="2426"/>
            <w:vAlign w:val="center"/>
            <w:tcMar>
              <w:top w:w="90" w:type="dxa"/>
              <w:start w:w="110" w:type="dxa"/>
              <w:bottom w:w="90" w:type="dxa"/>
              <w:end w:w="110" w:type="dxa"/>
            </w:tcMar>
          </w:tcPr>
          <w:p>
            <w:pPr>
              <w:spacing w:after="0"/>
            </w:pPr>
            <w:r>
              <w:rPr>
                <w:rFonts w:ascii="Aptos" w:hAnsi="Aptos"/>
                <w:sz w:val="17"/>
              </w:rPr>
              <w:t>Narrow and preliminary</w:t>
            </w:r>
          </w:p>
        </w:tc>
      </w:tr>
      <w:tr>
        <w:tc>
          <w:tcPr>
            <w:tcW w:type="dxa" w:w="2426"/>
            <w:vAlign w:val="center"/>
            <w:tcMar>
              <w:top w:w="90" w:type="dxa"/>
              <w:start w:w="110" w:type="dxa"/>
              <w:bottom w:w="90" w:type="dxa"/>
              <w:end w:w="110" w:type="dxa"/>
            </w:tcMar>
            <w:shd w:fill="EEF5FA"/>
          </w:tcPr>
          <w:p>
            <w:pPr>
              <w:spacing w:after="0"/>
            </w:pPr>
            <w:r>
              <w:rPr>
                <w:rFonts w:ascii="Aptos" w:hAnsi="Aptos"/>
                <w:sz w:val="17"/>
              </w:rPr>
              <w:t>Left and right brain</w:t>
            </w:r>
          </w:p>
        </w:tc>
        <w:tc>
          <w:tcPr>
            <w:tcW w:type="dxa" w:w="2426"/>
            <w:vAlign w:val="center"/>
            <w:tcMar>
              <w:top w:w="90" w:type="dxa"/>
              <w:start w:w="110" w:type="dxa"/>
              <w:bottom w:w="90" w:type="dxa"/>
              <w:end w:w="110" w:type="dxa"/>
            </w:tcMar>
            <w:shd w:fill="EEF5FA"/>
          </w:tcPr>
          <w:p>
            <w:pPr>
              <w:spacing w:after="0"/>
            </w:pPr>
            <w:r>
              <w:rPr>
                <w:rFonts w:ascii="Aptos" w:hAnsi="Aptos"/>
                <w:sz w:val="17"/>
              </w:rPr>
              <w:t>Real functions can be lateralized</w:t>
            </w:r>
          </w:p>
        </w:tc>
        <w:tc>
          <w:tcPr>
            <w:tcW w:type="dxa" w:w="2426"/>
            <w:vAlign w:val="center"/>
            <w:tcMar>
              <w:top w:w="90" w:type="dxa"/>
              <w:start w:w="110" w:type="dxa"/>
              <w:bottom w:w="90" w:type="dxa"/>
              <w:end w:w="110" w:type="dxa"/>
            </w:tcMar>
            <w:shd w:fill="EEF5FA"/>
          </w:tcPr>
          <w:p>
            <w:pPr>
              <w:spacing w:after="0"/>
            </w:pPr>
            <w:r>
              <w:rPr>
                <w:rFonts w:ascii="Aptos" w:hAnsi="Aptos"/>
                <w:sz w:val="17"/>
              </w:rPr>
              <w:t>People operate through two opposing personalities, or one hemisphere simply accepts suggestions without critique</w:t>
            </w:r>
          </w:p>
        </w:tc>
        <w:tc>
          <w:tcPr>
            <w:tcW w:type="dxa" w:w="2426"/>
            <w:vAlign w:val="center"/>
            <w:tcMar>
              <w:top w:w="90" w:type="dxa"/>
              <w:start w:w="110" w:type="dxa"/>
              <w:bottom w:w="90" w:type="dxa"/>
              <w:end w:w="110" w:type="dxa"/>
            </w:tcMar>
            <w:shd w:fill="EEF5FA"/>
          </w:tcPr>
          <w:p>
            <w:pPr>
              <w:spacing w:after="0"/>
            </w:pPr>
            <w:r>
              <w:rPr>
                <w:rFonts w:ascii="Aptos" w:hAnsi="Aptos"/>
                <w:sz w:val="17"/>
              </w:rPr>
              <w:t>Report’s model is outdated and oversimplified</w:t>
            </w:r>
          </w:p>
        </w:tc>
      </w:tr>
      <w:tr>
        <w:tc>
          <w:tcPr>
            <w:tcW w:type="dxa" w:w="2426"/>
            <w:vAlign w:val="center"/>
            <w:tcMar>
              <w:top w:w="90" w:type="dxa"/>
              <w:start w:w="110" w:type="dxa"/>
              <w:bottom w:w="90" w:type="dxa"/>
              <w:end w:w="110" w:type="dxa"/>
            </w:tcMar>
          </w:tcPr>
          <w:p>
            <w:pPr>
              <w:spacing w:after="0"/>
            </w:pPr>
            <w:r>
              <w:rPr>
                <w:rFonts w:ascii="Aptos" w:hAnsi="Aptos"/>
                <w:sz w:val="17"/>
              </w:rPr>
              <w:t>Hypnosis, meditation, biofeedback</w:t>
            </w:r>
          </w:p>
        </w:tc>
        <w:tc>
          <w:tcPr>
            <w:tcW w:type="dxa" w:w="2426"/>
            <w:vAlign w:val="center"/>
            <w:tcMar>
              <w:top w:w="90" w:type="dxa"/>
              <w:start w:w="110" w:type="dxa"/>
              <w:bottom w:w="90" w:type="dxa"/>
              <w:end w:w="110" w:type="dxa"/>
            </w:tcMar>
          </w:tcPr>
          <w:p>
            <w:pPr>
              <w:spacing w:after="0"/>
            </w:pPr>
            <w:r>
              <w:rPr>
                <w:rFonts w:ascii="Aptos" w:hAnsi="Aptos"/>
                <w:sz w:val="17"/>
              </w:rPr>
              <w:t>Each has evidence for selected outcomes under defined conditions</w:t>
            </w:r>
          </w:p>
        </w:tc>
        <w:tc>
          <w:tcPr>
            <w:tcW w:type="dxa" w:w="2426"/>
            <w:vAlign w:val="center"/>
            <w:tcMar>
              <w:top w:w="90" w:type="dxa"/>
              <w:start w:w="110" w:type="dxa"/>
              <w:bottom w:w="90" w:type="dxa"/>
              <w:end w:w="110" w:type="dxa"/>
            </w:tcMar>
          </w:tcPr>
          <w:p>
            <w:pPr>
              <w:spacing w:after="0"/>
            </w:pPr>
            <w:r>
              <w:rPr>
                <w:rFonts w:ascii="Aptos" w:hAnsi="Aptos"/>
                <w:sz w:val="17"/>
              </w:rPr>
              <w:t>They provide unlimited voluntary control over physiology or establish the report’s biomedical mechanism</w:t>
            </w:r>
          </w:p>
        </w:tc>
        <w:tc>
          <w:tcPr>
            <w:tcW w:type="dxa" w:w="2426"/>
            <w:vAlign w:val="center"/>
            <w:tcMar>
              <w:top w:w="90" w:type="dxa"/>
              <w:start w:w="110" w:type="dxa"/>
              <w:bottom w:w="90" w:type="dxa"/>
              <w:end w:w="110" w:type="dxa"/>
            </w:tcMar>
          </w:tcPr>
          <w:p>
            <w:pPr>
              <w:spacing w:after="0"/>
            </w:pPr>
            <w:r>
              <w:rPr>
                <w:rFonts w:ascii="Aptos" w:hAnsi="Aptos"/>
                <w:sz w:val="17"/>
              </w:rPr>
              <w:t>Useful adjacent practices with limits</w:t>
            </w:r>
          </w:p>
        </w:tc>
      </w:tr>
      <w:tr>
        <w:tc>
          <w:tcPr>
            <w:tcW w:type="dxa" w:w="2426"/>
            <w:vAlign w:val="center"/>
            <w:tcMar>
              <w:top w:w="90" w:type="dxa"/>
              <w:start w:w="110" w:type="dxa"/>
              <w:bottom w:w="90" w:type="dxa"/>
              <w:end w:w="110" w:type="dxa"/>
            </w:tcMar>
            <w:shd w:fill="EEF5FA"/>
          </w:tcPr>
          <w:p>
            <w:pPr>
              <w:spacing w:after="0"/>
            </w:pPr>
            <w:r>
              <w:rPr>
                <w:rFonts w:ascii="Aptos" w:hAnsi="Aptos"/>
                <w:sz w:val="17"/>
              </w:rPr>
              <w:t>Out-of-body experiences</w:t>
            </w:r>
          </w:p>
        </w:tc>
        <w:tc>
          <w:tcPr>
            <w:tcW w:type="dxa" w:w="2426"/>
            <w:vAlign w:val="center"/>
            <w:tcMar>
              <w:top w:w="90" w:type="dxa"/>
              <w:start w:w="110" w:type="dxa"/>
              <w:bottom w:w="90" w:type="dxa"/>
              <w:end w:w="110" w:type="dxa"/>
            </w:tcMar>
            <w:shd w:fill="EEF5FA"/>
          </w:tcPr>
          <w:p>
            <w:pPr>
              <w:spacing w:after="0"/>
            </w:pPr>
            <w:r>
              <w:rPr>
                <w:rFonts w:ascii="Aptos" w:hAnsi="Aptos"/>
                <w:sz w:val="17"/>
              </w:rPr>
              <w:t>Disembodiment and shifted self-location can be sincerely experienced and experimentally induced</w:t>
            </w:r>
          </w:p>
        </w:tc>
        <w:tc>
          <w:tcPr>
            <w:tcW w:type="dxa" w:w="2426"/>
            <w:vAlign w:val="center"/>
            <w:tcMar>
              <w:top w:w="90" w:type="dxa"/>
              <w:start w:w="110" w:type="dxa"/>
              <w:bottom w:w="90" w:type="dxa"/>
              <w:end w:w="110" w:type="dxa"/>
            </w:tcMar>
            <w:shd w:fill="EEF5FA"/>
          </w:tcPr>
          <w:p>
            <w:pPr>
              <w:spacing w:after="0"/>
            </w:pPr>
            <w:r>
              <w:rPr>
                <w:rFonts w:ascii="Aptos" w:hAnsi="Aptos"/>
                <w:sz w:val="17"/>
              </w:rPr>
              <w:t>Awareness literally left the brain or perceived a hidden external target</w:t>
            </w:r>
          </w:p>
        </w:tc>
        <w:tc>
          <w:tcPr>
            <w:tcW w:type="dxa" w:w="2426"/>
            <w:vAlign w:val="center"/>
            <w:tcMar>
              <w:top w:w="90" w:type="dxa"/>
              <w:start w:w="110" w:type="dxa"/>
              <w:bottom w:w="90" w:type="dxa"/>
              <w:end w:w="110" w:type="dxa"/>
            </w:tcMar>
            <w:shd w:fill="EEF5FA"/>
          </w:tcPr>
          <w:p>
            <w:pPr>
              <w:spacing w:after="0"/>
            </w:pPr>
            <w:r>
              <w:rPr>
                <w:rFonts w:ascii="Aptos" w:hAnsi="Aptos"/>
                <w:sz w:val="17"/>
              </w:rPr>
              <w:t>Experience supported; external interpretation unproven</w:t>
            </w:r>
          </w:p>
        </w:tc>
      </w:tr>
      <w:tr>
        <w:tc>
          <w:tcPr>
            <w:tcW w:type="dxa" w:w="2426"/>
            <w:vAlign w:val="center"/>
            <w:tcMar>
              <w:top w:w="90" w:type="dxa"/>
              <w:start w:w="110" w:type="dxa"/>
              <w:bottom w:w="90" w:type="dxa"/>
              <w:end w:w="110" w:type="dxa"/>
            </w:tcMar>
          </w:tcPr>
          <w:p>
            <w:pPr>
              <w:spacing w:after="0"/>
            </w:pPr>
            <w:r>
              <w:rPr>
                <w:rFonts w:ascii="Aptos" w:hAnsi="Aptos"/>
                <w:sz w:val="17"/>
              </w:rPr>
              <w:t>Lucid dreaming</w:t>
            </w:r>
          </w:p>
        </w:tc>
        <w:tc>
          <w:tcPr>
            <w:tcW w:type="dxa" w:w="2426"/>
            <w:vAlign w:val="center"/>
            <w:tcMar>
              <w:top w:w="90" w:type="dxa"/>
              <w:start w:w="110" w:type="dxa"/>
              <w:bottom w:w="90" w:type="dxa"/>
              <w:end w:w="110" w:type="dxa"/>
            </w:tcMar>
          </w:tcPr>
          <w:p>
            <w:pPr>
              <w:spacing w:after="0"/>
            </w:pPr>
            <w:r>
              <w:rPr>
                <w:rFonts w:ascii="Aptos" w:hAnsi="Aptos"/>
                <w:sz w:val="17"/>
              </w:rPr>
              <w:t>Verified dreamers can sometimes communicate during REM sleep</w:t>
            </w:r>
          </w:p>
        </w:tc>
        <w:tc>
          <w:tcPr>
            <w:tcW w:type="dxa" w:w="2426"/>
            <w:vAlign w:val="center"/>
            <w:tcMar>
              <w:top w:w="90" w:type="dxa"/>
              <w:start w:w="110" w:type="dxa"/>
              <w:bottom w:w="90" w:type="dxa"/>
              <w:end w:w="110" w:type="dxa"/>
            </w:tcMar>
          </w:tcPr>
          <w:p>
            <w:pPr>
              <w:spacing w:after="0"/>
            </w:pPr>
            <w:r>
              <w:rPr>
                <w:rFonts w:ascii="Aptos" w:hAnsi="Aptos"/>
                <w:sz w:val="17"/>
              </w:rPr>
              <w:t>Dreaming is ordinary proof of telepathy, time travel, or consciousness outside the body</w:t>
            </w:r>
          </w:p>
        </w:tc>
        <w:tc>
          <w:tcPr>
            <w:tcW w:type="dxa" w:w="2426"/>
            <w:vAlign w:val="center"/>
            <w:tcMar>
              <w:top w:w="90" w:type="dxa"/>
              <w:start w:w="110" w:type="dxa"/>
              <w:bottom w:w="90" w:type="dxa"/>
              <w:end w:w="110" w:type="dxa"/>
            </w:tcMar>
          </w:tcPr>
          <w:p>
            <w:pPr>
              <w:spacing w:after="0"/>
            </w:pPr>
            <w:r>
              <w:rPr>
                <w:rFonts w:ascii="Aptos" w:hAnsi="Aptos"/>
                <w:sz w:val="17"/>
              </w:rPr>
              <w:t>Established altered state, limited bridge to Gateway claims</w:t>
            </w:r>
          </w:p>
        </w:tc>
      </w:tr>
      <w:tr>
        <w:tc>
          <w:tcPr>
            <w:tcW w:type="dxa" w:w="2426"/>
            <w:vAlign w:val="center"/>
            <w:tcMar>
              <w:top w:w="90" w:type="dxa"/>
              <w:start w:w="110" w:type="dxa"/>
              <w:bottom w:w="90" w:type="dxa"/>
              <w:end w:w="110" w:type="dxa"/>
            </w:tcMar>
            <w:shd w:fill="EEF5FA"/>
          </w:tcPr>
          <w:p>
            <w:pPr>
              <w:spacing w:after="0"/>
            </w:pPr>
            <w:r>
              <w:rPr>
                <w:rFonts w:ascii="Aptos" w:hAnsi="Aptos"/>
                <w:sz w:val="17"/>
              </w:rPr>
              <w:t>Remote viewing</w:t>
            </w:r>
          </w:p>
        </w:tc>
        <w:tc>
          <w:tcPr>
            <w:tcW w:type="dxa" w:w="2426"/>
            <w:vAlign w:val="center"/>
            <w:tcMar>
              <w:top w:w="90" w:type="dxa"/>
              <w:start w:w="110" w:type="dxa"/>
              <w:bottom w:w="90" w:type="dxa"/>
              <w:end w:w="110" w:type="dxa"/>
            </w:tcMar>
            <w:shd w:fill="EEF5FA"/>
          </w:tcPr>
          <w:p>
            <w:pPr>
              <w:spacing w:after="0"/>
            </w:pPr>
            <w:r>
              <w:rPr>
                <w:rFonts w:ascii="Aptos" w:hAnsi="Aptos"/>
                <w:sz w:val="17"/>
              </w:rPr>
              <w:t>Some controlled programs and meta-analyses report small nonchance effects</w:t>
            </w:r>
          </w:p>
        </w:tc>
        <w:tc>
          <w:tcPr>
            <w:tcW w:type="dxa" w:w="2426"/>
            <w:vAlign w:val="center"/>
            <w:tcMar>
              <w:top w:w="90" w:type="dxa"/>
              <w:start w:w="110" w:type="dxa"/>
              <w:bottom w:w="90" w:type="dxa"/>
              <w:end w:w="110" w:type="dxa"/>
            </w:tcMar>
            <w:shd w:fill="EEF5FA"/>
          </w:tcPr>
          <w:p>
            <w:pPr>
              <w:spacing w:after="0"/>
            </w:pPr>
            <w:r>
              <w:rPr>
                <w:rFonts w:ascii="Aptos" w:hAnsi="Aptos"/>
                <w:sz w:val="17"/>
              </w:rPr>
              <w:t>Reliable intelligence collection, a specific holographic mechanism, or consistent trainability</w:t>
            </w:r>
          </w:p>
        </w:tc>
        <w:tc>
          <w:tcPr>
            <w:tcW w:type="dxa" w:w="2426"/>
            <w:vAlign w:val="center"/>
            <w:tcMar>
              <w:top w:w="90" w:type="dxa"/>
              <w:start w:w="110" w:type="dxa"/>
              <w:bottom w:w="90" w:type="dxa"/>
              <w:end w:w="110" w:type="dxa"/>
            </w:tcMar>
            <w:shd w:fill="EEF5FA"/>
          </w:tcPr>
          <w:p>
            <w:pPr>
              <w:spacing w:after="0"/>
            </w:pPr>
            <w:r>
              <w:rPr>
                <w:rFonts w:ascii="Aptos" w:hAnsi="Aptos"/>
                <w:sz w:val="17"/>
              </w:rPr>
              <w:t>Live scientific dispute; poor operational record</w:t>
            </w:r>
          </w:p>
        </w:tc>
      </w:tr>
      <w:tr>
        <w:tc>
          <w:tcPr>
            <w:tcW w:type="dxa" w:w="2426"/>
            <w:vAlign w:val="center"/>
            <w:tcMar>
              <w:top w:w="90" w:type="dxa"/>
              <w:start w:w="110" w:type="dxa"/>
              <w:bottom w:w="90" w:type="dxa"/>
              <w:end w:w="110" w:type="dxa"/>
            </w:tcMar>
          </w:tcPr>
          <w:p>
            <w:pPr>
              <w:spacing w:after="0"/>
            </w:pPr>
            <w:r>
              <w:rPr>
                <w:rFonts w:ascii="Aptos" w:hAnsi="Aptos"/>
                <w:sz w:val="17"/>
              </w:rPr>
              <w:t>Schumann resonance</w:t>
            </w:r>
          </w:p>
        </w:tc>
        <w:tc>
          <w:tcPr>
            <w:tcW w:type="dxa" w:w="2426"/>
            <w:vAlign w:val="center"/>
            <w:tcMar>
              <w:top w:w="90" w:type="dxa"/>
              <w:start w:w="110" w:type="dxa"/>
              <w:bottom w:w="90" w:type="dxa"/>
              <w:end w:w="110" w:type="dxa"/>
            </w:tcMar>
          </w:tcPr>
          <w:p>
            <w:pPr>
              <w:spacing w:after="0"/>
            </w:pPr>
            <w:r>
              <w:rPr>
                <w:rFonts w:ascii="Aptos" w:hAnsi="Aptos"/>
                <w:sz w:val="17"/>
              </w:rPr>
              <w:t>The Earth-ionosphere cavity has measurable electromagnetic modes excited mainly by lightning</w:t>
            </w:r>
          </w:p>
        </w:tc>
        <w:tc>
          <w:tcPr>
            <w:tcW w:type="dxa" w:w="2426"/>
            <w:vAlign w:val="center"/>
            <w:tcMar>
              <w:top w:w="90" w:type="dxa"/>
              <w:start w:w="110" w:type="dxa"/>
              <w:bottom w:w="90" w:type="dxa"/>
              <w:end w:w="110" w:type="dxa"/>
            </w:tcMar>
          </w:tcPr>
          <w:p>
            <w:pPr>
              <w:spacing w:after="0"/>
            </w:pPr>
            <w:r>
              <w:rPr>
                <w:rFonts w:ascii="Aptos" w:hAnsi="Aptos"/>
                <w:sz w:val="17"/>
              </w:rPr>
              <w:t>Similar numeric frequencies create a thought-transmission carrier between people</w:t>
            </w:r>
          </w:p>
        </w:tc>
        <w:tc>
          <w:tcPr>
            <w:tcW w:type="dxa" w:w="2426"/>
            <w:vAlign w:val="center"/>
            <w:tcMar>
              <w:top w:w="90" w:type="dxa"/>
              <w:start w:w="110" w:type="dxa"/>
              <w:bottom w:w="90" w:type="dxa"/>
              <w:end w:w="110" w:type="dxa"/>
            </w:tcMar>
          </w:tcPr>
          <w:p>
            <w:pPr>
              <w:spacing w:after="0"/>
            </w:pPr>
            <w:r>
              <w:rPr>
                <w:rFonts w:ascii="Aptos" w:hAnsi="Aptos"/>
                <w:sz w:val="17"/>
              </w:rPr>
              <w:t>Real phenomenon, unsupported Gateway coupling</w:t>
            </w:r>
          </w:p>
        </w:tc>
      </w:tr>
      <w:tr>
        <w:tc>
          <w:tcPr>
            <w:tcW w:type="dxa" w:w="2426"/>
            <w:vAlign w:val="center"/>
            <w:tcMar>
              <w:top w:w="90" w:type="dxa"/>
              <w:start w:w="110" w:type="dxa"/>
              <w:bottom w:w="90" w:type="dxa"/>
              <w:end w:w="110" w:type="dxa"/>
            </w:tcMar>
            <w:shd w:fill="EEF5FA"/>
          </w:tcPr>
          <w:p>
            <w:pPr>
              <w:spacing w:after="0"/>
            </w:pPr>
            <w:r>
              <w:rPr>
                <w:rFonts w:ascii="Aptos" w:hAnsi="Aptos"/>
                <w:sz w:val="17"/>
              </w:rPr>
              <w:t>Holographic and quantum models</w:t>
            </w:r>
          </w:p>
        </w:tc>
        <w:tc>
          <w:tcPr>
            <w:tcW w:type="dxa" w:w="2426"/>
            <w:vAlign w:val="center"/>
            <w:tcMar>
              <w:top w:w="90" w:type="dxa"/>
              <w:start w:w="110" w:type="dxa"/>
              <w:bottom w:w="90" w:type="dxa"/>
              <w:end w:w="110" w:type="dxa"/>
            </w:tcMar>
            <w:shd w:fill="EEF5FA"/>
          </w:tcPr>
          <w:p>
            <w:pPr>
              <w:spacing w:after="0"/>
            </w:pPr>
            <w:r>
              <w:rPr>
                <w:rFonts w:ascii="Aptos" w:hAnsi="Aptos"/>
                <w:sz w:val="17"/>
              </w:rPr>
              <w:t>Holography, entanglement, decoherence, and mathematical dualities are legitimate scientific subjects</w:t>
            </w:r>
          </w:p>
        </w:tc>
        <w:tc>
          <w:tcPr>
            <w:tcW w:type="dxa" w:w="2426"/>
            <w:vAlign w:val="center"/>
            <w:tcMar>
              <w:top w:w="90" w:type="dxa"/>
              <w:start w:w="110" w:type="dxa"/>
              <w:bottom w:w="90" w:type="dxa"/>
              <w:end w:w="110" w:type="dxa"/>
            </w:tcMar>
            <w:shd w:fill="EEF5FA"/>
          </w:tcPr>
          <w:p>
            <w:pPr>
              <w:spacing w:after="0"/>
            </w:pPr>
            <w:r>
              <w:rPr>
                <w:rFonts w:ascii="Aptos" w:hAnsi="Aptos"/>
                <w:sz w:val="17"/>
              </w:rPr>
              <w:t>Shared vocabulary validates cosmic memory, mind-over-matter, or faster-than-light mental signaling</w:t>
            </w:r>
          </w:p>
        </w:tc>
        <w:tc>
          <w:tcPr>
            <w:tcW w:type="dxa" w:w="2426"/>
            <w:vAlign w:val="center"/>
            <w:tcMar>
              <w:top w:w="90" w:type="dxa"/>
              <w:start w:w="110" w:type="dxa"/>
              <w:bottom w:w="90" w:type="dxa"/>
              <w:end w:w="110" w:type="dxa"/>
            </w:tcMar>
            <w:shd w:fill="EEF5FA"/>
          </w:tcPr>
          <w:p>
            <w:pPr>
              <w:spacing w:after="0"/>
            </w:pPr>
            <w:r>
              <w:rPr>
                <w:rFonts w:ascii="Aptos" w:hAnsi="Aptos"/>
                <w:sz w:val="17"/>
              </w:rPr>
              <w:t>Mostly metaphor or category error in this report</w:t>
            </w:r>
          </w:p>
        </w:tc>
      </w:tr>
      <w:tr>
        <w:tc>
          <w:tcPr>
            <w:tcW w:type="dxa" w:w="2426"/>
            <w:vAlign w:val="center"/>
            <w:tcMar>
              <w:top w:w="90" w:type="dxa"/>
              <w:start w:w="110" w:type="dxa"/>
              <w:bottom w:w="90" w:type="dxa"/>
              <w:end w:w="110" w:type="dxa"/>
            </w:tcMar>
          </w:tcPr>
          <w:p>
            <w:pPr>
              <w:spacing w:after="0"/>
            </w:pPr>
            <w:r>
              <w:rPr>
                <w:rFonts w:ascii="Aptos" w:hAnsi="Aptos"/>
                <w:sz w:val="17"/>
              </w:rPr>
              <w:t>The Absolute and survival</w:t>
            </w:r>
          </w:p>
        </w:tc>
        <w:tc>
          <w:tcPr>
            <w:tcW w:type="dxa" w:w="2426"/>
            <w:vAlign w:val="center"/>
            <w:tcMar>
              <w:top w:w="90" w:type="dxa"/>
              <w:start w:w="110" w:type="dxa"/>
              <w:bottom w:w="90" w:type="dxa"/>
              <w:end w:w="110" w:type="dxa"/>
            </w:tcMar>
          </w:tcPr>
          <w:p>
            <w:pPr>
              <w:spacing w:after="0"/>
            </w:pPr>
            <w:r>
              <w:rPr>
                <w:rFonts w:ascii="Aptos" w:hAnsi="Aptos"/>
                <w:sz w:val="17"/>
              </w:rPr>
              <w:t>Coherent philosophical and religious possibilities can be discussed</w:t>
            </w:r>
          </w:p>
        </w:tc>
        <w:tc>
          <w:tcPr>
            <w:tcW w:type="dxa" w:w="2426"/>
            <w:vAlign w:val="center"/>
            <w:tcMar>
              <w:top w:w="90" w:type="dxa"/>
              <w:start w:w="110" w:type="dxa"/>
              <w:bottom w:w="90" w:type="dxa"/>
              <w:end w:w="110" w:type="dxa"/>
            </w:tcMar>
          </w:tcPr>
          <w:p>
            <w:pPr>
              <w:spacing w:after="0"/>
            </w:pPr>
            <w:r>
              <w:rPr>
                <w:rFonts w:ascii="Aptos" w:hAnsi="Aptos"/>
                <w:sz w:val="17"/>
              </w:rPr>
              <w:t>Physics in the memorandum demonstrates an eternal personal consciousness</w:t>
            </w:r>
          </w:p>
        </w:tc>
        <w:tc>
          <w:tcPr>
            <w:tcW w:type="dxa" w:w="2426"/>
            <w:vAlign w:val="center"/>
            <w:tcMar>
              <w:top w:w="90" w:type="dxa"/>
              <w:start w:w="110" w:type="dxa"/>
              <w:bottom w:w="90" w:type="dxa"/>
              <w:end w:w="110" w:type="dxa"/>
            </w:tcMar>
          </w:tcPr>
          <w:p>
            <w:pPr>
              <w:spacing w:after="0"/>
            </w:pPr>
            <w:r>
              <w:rPr>
                <w:rFonts w:ascii="Aptos" w:hAnsi="Aptos"/>
                <w:sz w:val="17"/>
              </w:rPr>
              <w:t>Metaphysical interpretation, not an empirical conclusion</w:t>
            </w:r>
          </w:p>
        </w:tc>
      </w:tr>
    </w:tbl>
    <w:p>
      <w:pPr>
        <w:spacing w:after="20"/>
      </w:pPr>
    </w:p>
    <w:p>
      <w:pPr>
        <w:pStyle w:val="Heading1"/>
      </w:pPr>
      <w:r>
        <w:t>The document in historical context</w:t>
      </w:r>
    </w:p>
    <w:p>
      <w:pPr>
        <w:pStyle w:val="Heading2"/>
      </w:pPr>
      <w:r>
        <w:t>Authorship, custody, and endorsement</w:t>
      </w:r>
    </w:p>
    <w:p>
      <w:r>
        <w:t>The visible letterhead identifies the Department of the Army, U.S. Army Operational Group, U.S. Army Intelligence and Security Command, Fort Meade. Lieutenant Colonel Wayne M. McDonnell submitted the assessment to his commander on 9 June 1983. The report says he attended Gateway training, consulted a physician who attended with him, and researched models that might make the program intelligible to an Army audience.</w:t>
      </w:r>
    </w:p>
    <w:p>
      <w:r>
        <w:t>The CIA release stamp and CIA reading-room identifier show the archival route of this copy. GovInfo catalogs the Army and Defense Department as the government authors and warns that preserved agency content may not reflect current policy. The correct formulation is therefore “an Army assessment later released from CIA records,” rather than “the CIA proved Gateway.”</w:t>
      </w:r>
    </w:p>
    <w:p>
      <w:r>
        <w:t>The bibliography explains the paper’s character. It combines Itzhak Bentov’s speculative popular synthesis, Robert Monroe’s first-person account, a Monroe Institute monograph, magazine articles, consciousness studies, and books relating mysticism to mind and cosmos. That can seed hypotheses and interpretation. It is not the evidentiary base one would expect for a validated biomedical mechanism or a controlled trial of the Gateway curriculum.</w:t>
      </w:r>
    </w:p>
    <w:p>
      <w:pPr>
        <w:pStyle w:val="Heading2"/>
      </w:pPr>
      <w:r>
        <w:t>Condition of the public copy</w:t>
      </w:r>
    </w:p>
    <w:p>
      <w:r>
        <w:t>The government-preserved file contains 29 scanned leaves. Its printed pages 17 and 18 are bound in reverse order, and printed page 25 is absent. A separately circulating 30-leaf facsimile contains the missing page. Journalist Thobey Campion reported receiving the complete copy through the Monroe Institute in 2021.</w:t>
      </w:r>
      <w:r>
        <w:t/>
      </w:r>
      <w:r>
        <w:footnoteReference w:id="2"/>
      </w:r>
      <w:r>
        <w:t xml:space="preserve"> The companion transcription preserves the government copy’s omission as an editorial fact and labels the restored page by its separate provenance. The sources examined do not establish why the page disappeared, so suppression should not be inferred from the gap alone.</w:t>
      </w:r>
    </w:p>
    <w:p>
      <w:pPr>
        <w:pStyle w:val="Heading2"/>
      </w:pPr>
      <w:r>
        <w:t>The report’s architecture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53"/>
        <w:gridCol w:w="4853"/>
      </w:tblGrid>
      <w:tr>
        <w:trPr>
          <w:tblHeader w:val="true"/>
        </w:trPr>
        <w:tc>
          <w:tcPr>
            <w:tcW w:type="dxa" w:w="4853"/>
            <w:vAlign w:val="center"/>
            <w:tcMar>
              <w:top w:w="90" w:type="dxa"/>
              <w:start w:w="110" w:type="dxa"/>
              <w:bottom w:w="90" w:type="dxa"/>
              <w:end w:w="110" w:type="dxa"/>
            </w:tcMar>
            <w:shd w:fill="17365D"/>
          </w:tcPr>
          <w:p>
            <w:pPr>
              <w:spacing w:after="0"/>
            </w:pPr>
            <w:r>
              <w:rPr>
                <w:rFonts w:ascii="Aptos" w:hAnsi="Aptos"/>
                <w:b/>
                <w:color w:val="FFFFFF"/>
                <w:sz w:val="18"/>
              </w:rPr>
              <w:t>Printed sections</w:t>
            </w:r>
          </w:p>
        </w:tc>
        <w:tc>
          <w:tcPr>
            <w:tcW w:type="dxa" w:w="4853"/>
            <w:vAlign w:val="center"/>
            <w:tcMar>
              <w:top w:w="90" w:type="dxa"/>
              <w:start w:w="110" w:type="dxa"/>
              <w:bottom w:w="90" w:type="dxa"/>
              <w:end w:w="110" w:type="dxa"/>
            </w:tcMar>
            <w:shd w:fill="17365D"/>
          </w:tcPr>
          <w:p>
            <w:pPr>
              <w:spacing w:after="0"/>
            </w:pPr>
            <w:r>
              <w:rPr>
                <w:rFonts w:ascii="Aptos" w:hAnsi="Aptos"/>
                <w:b/>
                <w:color w:val="FFFFFF"/>
                <w:sz w:val="18"/>
              </w:rPr>
              <w:t>Function in the argument</w:t>
            </w:r>
          </w:p>
        </w:tc>
      </w:tr>
      <w:tr>
        <w:tc>
          <w:tcPr>
            <w:tcW w:type="dxa" w:w="4853"/>
            <w:vAlign w:val="center"/>
            <w:tcMar>
              <w:top w:w="90" w:type="dxa"/>
              <w:start w:w="110" w:type="dxa"/>
              <w:bottom w:w="90" w:type="dxa"/>
              <w:end w:w="110" w:type="dxa"/>
            </w:tcMar>
          </w:tcPr>
          <w:p>
            <w:pPr>
              <w:spacing w:after="0"/>
            </w:pPr>
            <w:r>
              <w:rPr>
                <w:rFonts w:ascii="Aptos" w:hAnsi="Aptos"/>
                <w:sz w:val="18"/>
              </w:rPr>
              <w:t>1–10</w:t>
            </w:r>
          </w:p>
        </w:tc>
        <w:tc>
          <w:tcPr>
            <w:tcW w:type="dxa" w:w="4853"/>
            <w:vAlign w:val="center"/>
            <w:tcMar>
              <w:top w:w="90" w:type="dxa"/>
              <w:start w:w="110" w:type="dxa"/>
              <w:bottom w:w="90" w:type="dxa"/>
              <w:end w:w="110" w:type="dxa"/>
            </w:tcMar>
          </w:tcPr>
          <w:p>
            <w:pPr>
              <w:spacing w:after="0"/>
            </w:pPr>
            <w:r>
              <w:rPr>
                <w:rFonts w:ascii="Aptos" w:hAnsi="Aptos"/>
                <w:sz w:val="18"/>
              </w:rPr>
              <w:t>Introduces hypnosis, meditation, biofeedback, Hemi-Sync, frequency-following response, bodily resonance, and “energy entrainment”</w:t>
            </w:r>
          </w:p>
        </w:tc>
      </w:tr>
      <w:tr>
        <w:tc>
          <w:tcPr>
            <w:tcW w:type="dxa" w:w="4853"/>
            <w:vAlign w:val="center"/>
            <w:tcMar>
              <w:top w:w="90" w:type="dxa"/>
              <w:start w:w="110" w:type="dxa"/>
              <w:bottom w:w="90" w:type="dxa"/>
              <w:end w:w="110" w:type="dxa"/>
            </w:tcMar>
            <w:shd w:fill="EEF5FA"/>
          </w:tcPr>
          <w:p>
            <w:pPr>
              <w:spacing w:after="0"/>
            </w:pPr>
            <w:r>
              <w:rPr>
                <w:rFonts w:ascii="Aptos" w:hAnsi="Aptos"/>
                <w:sz w:val="18"/>
              </w:rPr>
              <w:t>11–17</w:t>
            </w:r>
          </w:p>
        </w:tc>
        <w:tc>
          <w:tcPr>
            <w:tcW w:type="dxa" w:w="4853"/>
            <w:vAlign w:val="center"/>
            <w:tcMar>
              <w:top w:w="90" w:type="dxa"/>
              <w:start w:w="110" w:type="dxa"/>
              <w:bottom w:w="90" w:type="dxa"/>
              <w:end w:w="110" w:type="dxa"/>
            </w:tcMar>
            <w:shd w:fill="EEF5FA"/>
          </w:tcPr>
          <w:p>
            <w:pPr>
              <w:spacing w:after="0"/>
            </w:pPr>
            <w:r>
              <w:rPr>
                <w:rFonts w:ascii="Aptos" w:hAnsi="Aptos"/>
                <w:sz w:val="18"/>
              </w:rPr>
              <w:t>Constructs a consciousness theory using matter-as-energy, optical holography, Pribram, Bohm, memory, and self-cognition</w:t>
            </w:r>
          </w:p>
        </w:tc>
      </w:tr>
      <w:tr>
        <w:tc>
          <w:tcPr>
            <w:tcW w:type="dxa" w:w="4853"/>
            <w:vAlign w:val="center"/>
            <w:tcMar>
              <w:top w:w="90" w:type="dxa"/>
              <w:start w:w="110" w:type="dxa"/>
              <w:bottom w:w="90" w:type="dxa"/>
              <w:end w:w="110" w:type="dxa"/>
            </w:tcMar>
          </w:tcPr>
          <w:p>
            <w:pPr>
              <w:spacing w:after="0"/>
            </w:pPr>
            <w:r>
              <w:rPr>
                <w:rFonts w:ascii="Aptos" w:hAnsi="Aptos"/>
                <w:sz w:val="18"/>
              </w:rPr>
              <w:t>18–27</w:t>
            </w:r>
          </w:p>
        </w:tc>
        <w:tc>
          <w:tcPr>
            <w:tcW w:type="dxa" w:w="4853"/>
            <w:vAlign w:val="center"/>
            <w:tcMar>
              <w:top w:w="90" w:type="dxa"/>
              <w:start w:w="110" w:type="dxa"/>
              <w:bottom w:w="90" w:type="dxa"/>
              <w:end w:w="110" w:type="dxa"/>
            </w:tcMar>
          </w:tcPr>
          <w:p>
            <w:pPr>
              <w:spacing w:after="0"/>
            </w:pPr>
            <w:r>
              <w:rPr>
                <w:rFonts w:ascii="Aptos" w:hAnsi="Aptos"/>
                <w:sz w:val="18"/>
              </w:rPr>
              <w:t>Extends the model into time, intervening dimensions, the Absolute, a toroidal cosmos, eternal consciousness, and out-of-body travel</w:t>
            </w:r>
          </w:p>
        </w:tc>
      </w:tr>
      <w:tr>
        <w:tc>
          <w:tcPr>
            <w:tcW w:type="dxa" w:w="4853"/>
            <w:vAlign w:val="center"/>
            <w:tcMar>
              <w:top w:w="90" w:type="dxa"/>
              <w:start w:w="110" w:type="dxa"/>
              <w:bottom w:w="90" w:type="dxa"/>
              <w:end w:w="110" w:type="dxa"/>
            </w:tcMar>
            <w:shd w:fill="EEF5FA"/>
          </w:tcPr>
          <w:p>
            <w:pPr>
              <w:spacing w:after="0"/>
            </w:pPr>
            <w:r>
              <w:rPr>
                <w:rFonts w:ascii="Aptos" w:hAnsi="Aptos"/>
                <w:sz w:val="18"/>
              </w:rPr>
              <w:t>28–33</w:t>
            </w:r>
          </w:p>
        </w:tc>
        <w:tc>
          <w:tcPr>
            <w:tcW w:type="dxa" w:w="4853"/>
            <w:vAlign w:val="center"/>
            <w:tcMar>
              <w:top w:w="90" w:type="dxa"/>
              <w:start w:w="110" w:type="dxa"/>
              <w:bottom w:w="90" w:type="dxa"/>
              <w:end w:w="110" w:type="dxa"/>
            </w:tcMar>
            <w:shd w:fill="EEF5FA"/>
          </w:tcPr>
          <w:p>
            <w:pPr>
              <w:spacing w:after="0"/>
            </w:pPr>
            <w:r>
              <w:rPr>
                <w:rFonts w:ascii="Aptos" w:hAnsi="Aptos"/>
                <w:sz w:val="18"/>
              </w:rPr>
              <w:t>Describes Gateway methods, Focus levels, imagery tools, patterning, healing, remote viewing, time travel, REM sleep, and information collection</w:t>
            </w:r>
          </w:p>
        </w:tc>
      </w:tr>
      <w:tr>
        <w:tc>
          <w:tcPr>
            <w:tcW w:type="dxa" w:w="4853"/>
            <w:vAlign w:val="center"/>
            <w:tcMar>
              <w:top w:w="90" w:type="dxa"/>
              <w:start w:w="110" w:type="dxa"/>
              <w:bottom w:w="90" w:type="dxa"/>
              <w:end w:w="110" w:type="dxa"/>
            </w:tcMar>
          </w:tcPr>
          <w:p>
            <w:pPr>
              <w:spacing w:after="0"/>
            </w:pPr>
            <w:r>
              <w:rPr>
                <w:rFonts w:ascii="Aptos" w:hAnsi="Aptos"/>
                <w:sz w:val="18"/>
              </w:rPr>
              <w:t>34–38</w:t>
            </w:r>
          </w:p>
        </w:tc>
        <w:tc>
          <w:tcPr>
            <w:tcW w:type="dxa" w:w="4853"/>
            <w:vAlign w:val="center"/>
            <w:tcMar>
              <w:top w:w="90" w:type="dxa"/>
              <w:start w:w="110" w:type="dxa"/>
              <w:bottom w:w="90" w:type="dxa"/>
              <w:end w:w="110" w:type="dxa"/>
            </w:tcMar>
          </w:tcPr>
          <w:p>
            <w:pPr>
              <w:spacing w:after="0"/>
            </w:pPr>
            <w:r>
              <w:rPr>
                <w:rFonts w:ascii="Aptos" w:hAnsi="Aptos"/>
                <w:sz w:val="18"/>
              </w:rPr>
              <w:t>Relates the model to religious systems, advocates intuitive self-knowledge, and proposes an accelerated experimental program</w:t>
            </w:r>
          </w:p>
        </w:tc>
      </w:tr>
    </w:tbl>
    <w:p>
      <w:pPr>
        <w:spacing w:after="20"/>
      </w:pPr>
    </w:p>
    <w:p>
      <w:r>
        <w:t>The paper is strongest when it describes the training and its intended experiences. It becomes progressively less secure when it converts metaphors into physics and then uses that physics to guarantee access to information beyond ordinary perception.</w:t>
      </w:r>
    </w:p>
    <w:p>
      <w:pPr>
        <w:pStyle w:val="Heading1"/>
      </w:pPr>
      <w:r>
        <w:t>A disciplined way to read the claims</w:t>
      </w:r>
    </w:p>
    <w:p>
      <w:r>
        <w:t>The central argument is a ladder:</w:t>
      </w:r>
    </w:p>
    <w:p>
      <w:pPr>
        <w:ind w:left="403" w:hanging="317"/>
      </w:pPr>
      <w:r>
        <w:t xml:space="preserve">1. </w:t>
      </w:r>
      <w:r>
        <w:t>People can learn to relax, focus, and experience vivid imagery.</w:t>
      </w:r>
    </w:p>
    <w:p>
      <w:pPr>
        <w:ind w:left="403" w:hanging="317"/>
      </w:pPr>
      <w:r>
        <w:t xml:space="preserve">2. </w:t>
      </w:r>
      <w:r>
        <w:t>An audio-and-suggestion protocol may help produce those states.</w:t>
      </w:r>
    </w:p>
    <w:p>
      <w:pPr>
        <w:ind w:left="403" w:hanging="317"/>
      </w:pPr>
      <w:r>
        <w:t xml:space="preserve">3. </w:t>
      </w:r>
      <w:r>
        <w:t>Those states can feel expansive, timeless, or separate from the body.</w:t>
      </w:r>
    </w:p>
    <w:p>
      <w:pPr>
        <w:ind w:left="403" w:hanging="317"/>
      </w:pPr>
      <w:r>
        <w:t xml:space="preserve">4. </w:t>
      </w:r>
      <w:r>
        <w:t>They provide facts unavailable to the ordinary senses.</w:t>
      </w:r>
    </w:p>
    <w:p>
      <w:pPr>
        <w:ind w:left="403" w:hanging="317"/>
      </w:pPr>
      <w:r>
        <w:t xml:space="preserve">5. </w:t>
      </w:r>
      <w:r>
        <w:t>The facts arrive because consciousness leaves spacetime and reads a universal hologram.</w:t>
      </w:r>
    </w:p>
    <w:p>
      <w:r>
        <w:t>Evidence for a lower rung does not automatically support the higher ones. A study showing reduced pain during audio use says little about access to a distant target. A neural response to an auditory beat is not the same measurement as global coherence, and global coherence would not by itself demonstrate extrasensory information. Even if a distant-information anomaly were replicated, it would not uniquely select McDonnell’s explanation over alternatives.</w:t>
      </w:r>
    </w:p>
    <w:p>
      <w:r>
        <w:t xml:space="preserve">This structure prevents two common errors. The first is </w:t>
      </w:r>
      <w:r>
        <w:rPr>
          <w:b/>
        </w:rPr>
        <w:t>halo reasoning</w:t>
      </w:r>
      <w:r>
        <w:t xml:space="preserve">: one true feature, such as the existence of Schumann resonances, makes neighboring claims feel true. The second is </w:t>
      </w:r>
      <w:r>
        <w:rPr>
          <w:b/>
        </w:rPr>
        <w:t>wholesale dismissal</w:t>
      </w:r>
      <w:r>
        <w:t>: one bad physics argument is used to deny that relaxation or unusual experiences occur. The evidence is clearer when each proposition gets its own test.</w:t>
      </w:r>
    </w:p>
    <w:p>
      <w:pPr>
        <w:pStyle w:val="Heading1"/>
      </w:pPr>
      <w:r>
        <w:t>Gateway concepts translated into testable language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trPr>
        <w:tc>
          <w:tcPr>
            <w:tcW w:type="dxa" w:w="3235"/>
            <w:vAlign w:val="center"/>
            <w:tcMar>
              <w:top w:w="90" w:type="dxa"/>
              <w:start w:w="110" w:type="dxa"/>
              <w:bottom w:w="90" w:type="dxa"/>
              <w:end w:w="110" w:type="dxa"/>
            </w:tcMar>
            <w:shd w:fill="17365D"/>
          </w:tcPr>
          <w:p>
            <w:pPr>
              <w:spacing w:after="0"/>
            </w:pPr>
            <w:r>
              <w:rPr>
                <w:rFonts w:ascii="Aptos" w:hAnsi="Aptos"/>
                <w:b/>
                <w:color w:val="FFFFFF"/>
                <w:sz w:val="18"/>
              </w:rPr>
              <w:t>Gateway term or claim</w:t>
            </w:r>
          </w:p>
        </w:tc>
        <w:tc>
          <w:tcPr>
            <w:tcW w:type="dxa" w:w="3235"/>
            <w:vAlign w:val="center"/>
            <w:tcMar>
              <w:top w:w="90" w:type="dxa"/>
              <w:start w:w="110" w:type="dxa"/>
              <w:bottom w:w="90" w:type="dxa"/>
              <w:end w:w="110" w:type="dxa"/>
            </w:tcMar>
            <w:shd w:fill="17365D"/>
          </w:tcPr>
          <w:p>
            <w:pPr>
              <w:spacing w:after="0"/>
            </w:pPr>
            <w:r>
              <w:rPr>
                <w:rFonts w:ascii="Aptos" w:hAnsi="Aptos"/>
                <w:b/>
                <w:color w:val="FFFFFF"/>
                <w:sz w:val="18"/>
              </w:rPr>
              <w:t>Productive interpretation</w:t>
            </w:r>
          </w:p>
        </w:tc>
        <w:tc>
          <w:tcPr>
            <w:tcW w:type="dxa" w:w="3235"/>
            <w:vAlign w:val="center"/>
            <w:tcMar>
              <w:top w:w="90" w:type="dxa"/>
              <w:start w:w="110" w:type="dxa"/>
              <w:bottom w:w="90" w:type="dxa"/>
              <w:end w:w="110" w:type="dxa"/>
            </w:tcMar>
            <w:shd w:fill="17365D"/>
          </w:tcPr>
          <w:p>
            <w:pPr>
              <w:spacing w:after="0"/>
            </w:pPr>
            <w:r>
              <w:rPr>
                <w:rFonts w:ascii="Aptos" w:hAnsi="Aptos"/>
                <w:b/>
                <w:color w:val="FFFFFF"/>
                <w:sz w:val="18"/>
              </w:rPr>
              <w:t>What requires separate evidence</w:t>
            </w:r>
          </w:p>
        </w:tc>
      </w:tr>
      <w:tr>
        <w:tc>
          <w:tcPr>
            <w:tcW w:type="dxa" w:w="3235"/>
            <w:vAlign w:val="center"/>
            <w:tcMar>
              <w:top w:w="90" w:type="dxa"/>
              <w:start w:w="110" w:type="dxa"/>
              <w:bottom w:w="90" w:type="dxa"/>
              <w:end w:w="110" w:type="dxa"/>
            </w:tcMar>
          </w:tcPr>
          <w:p>
            <w:pPr>
              <w:spacing w:after="0"/>
            </w:pPr>
            <w:r>
              <w:rPr>
                <w:rFonts w:ascii="Aptos" w:hAnsi="Aptos"/>
                <w:sz w:val="18"/>
              </w:rPr>
              <w:t>Hemi-Sync</w:t>
            </w:r>
          </w:p>
        </w:tc>
        <w:tc>
          <w:tcPr>
            <w:tcW w:type="dxa" w:w="3235"/>
            <w:vAlign w:val="center"/>
            <w:tcMar>
              <w:top w:w="90" w:type="dxa"/>
              <w:start w:w="110" w:type="dxa"/>
              <w:bottom w:w="90" w:type="dxa"/>
              <w:end w:w="110" w:type="dxa"/>
            </w:tcMar>
          </w:tcPr>
          <w:p>
            <w:pPr>
              <w:spacing w:after="0"/>
            </w:pPr>
            <w:r>
              <w:rPr>
                <w:rFonts w:ascii="Aptos" w:hAnsi="Aptos"/>
                <w:sz w:val="18"/>
              </w:rPr>
              <w:t>Layered audio may shape attention, arousal, expectation, and auditory activity</w:t>
            </w:r>
          </w:p>
        </w:tc>
        <w:tc>
          <w:tcPr>
            <w:tcW w:type="dxa" w:w="3235"/>
            <w:vAlign w:val="center"/>
            <w:tcMar>
              <w:top w:w="90" w:type="dxa"/>
              <w:start w:w="110" w:type="dxa"/>
              <w:bottom w:w="90" w:type="dxa"/>
              <w:end w:w="110" w:type="dxa"/>
            </w:tcMar>
          </w:tcPr>
          <w:p>
            <w:pPr>
              <w:spacing w:after="0"/>
            </w:pPr>
            <w:r>
              <w:rPr>
                <w:rFonts w:ascii="Aptos" w:hAnsi="Aptos"/>
                <w:sz w:val="18"/>
              </w:rPr>
              <w:t>Reliable global hemispheric equality; unique states; paranormal outcomes</w:t>
            </w:r>
          </w:p>
        </w:tc>
      </w:tr>
      <w:tr>
        <w:tc>
          <w:tcPr>
            <w:tcW w:type="dxa" w:w="3235"/>
            <w:vAlign w:val="center"/>
            <w:tcMar>
              <w:top w:w="90" w:type="dxa"/>
              <w:start w:w="110" w:type="dxa"/>
              <w:bottom w:w="90" w:type="dxa"/>
              <w:end w:w="110" w:type="dxa"/>
            </w:tcMar>
            <w:shd w:fill="EEF5FA"/>
          </w:tcPr>
          <w:p>
            <w:pPr>
              <w:spacing w:after="0"/>
            </w:pPr>
            <w:r>
              <w:rPr>
                <w:rFonts w:ascii="Aptos" w:hAnsi="Aptos"/>
                <w:sz w:val="18"/>
              </w:rPr>
              <w:t>Focus 10, “mind awake, body asleep”</w:t>
            </w:r>
          </w:p>
        </w:tc>
        <w:tc>
          <w:tcPr>
            <w:tcW w:type="dxa" w:w="3235"/>
            <w:vAlign w:val="center"/>
            <w:tcMar>
              <w:top w:w="90" w:type="dxa"/>
              <w:start w:w="110" w:type="dxa"/>
              <w:bottom w:w="90" w:type="dxa"/>
              <w:end w:w="110" w:type="dxa"/>
            </w:tcMar>
            <w:shd w:fill="EEF5FA"/>
          </w:tcPr>
          <w:p>
            <w:pPr>
              <w:spacing w:after="0"/>
            </w:pPr>
            <w:r>
              <w:rPr>
                <w:rFonts w:ascii="Aptos" w:hAnsi="Aptos"/>
                <w:sz w:val="18"/>
              </w:rPr>
              <w:t>Deep relaxation with retained awareness; possibly sleep-onset imagery</w:t>
            </w:r>
          </w:p>
        </w:tc>
        <w:tc>
          <w:tcPr>
            <w:tcW w:type="dxa" w:w="3235"/>
            <w:vAlign w:val="center"/>
            <w:tcMar>
              <w:top w:w="90" w:type="dxa"/>
              <w:start w:w="110" w:type="dxa"/>
              <w:bottom w:w="90" w:type="dxa"/>
              <w:end w:w="110" w:type="dxa"/>
            </w:tcMar>
            <w:shd w:fill="EEF5FA"/>
          </w:tcPr>
          <w:p>
            <w:pPr>
              <w:spacing w:after="0"/>
            </w:pPr>
            <w:r>
              <w:rPr>
                <w:rFonts w:ascii="Aptos" w:hAnsi="Aptos"/>
                <w:sz w:val="18"/>
              </w:rPr>
              <w:t>A fixed EEG stage shared by all users</w:t>
            </w:r>
          </w:p>
        </w:tc>
      </w:tr>
      <w:tr>
        <w:tc>
          <w:tcPr>
            <w:tcW w:type="dxa" w:w="3235"/>
            <w:vAlign w:val="center"/>
            <w:tcMar>
              <w:top w:w="90" w:type="dxa"/>
              <w:start w:w="110" w:type="dxa"/>
              <w:bottom w:w="90" w:type="dxa"/>
              <w:end w:w="110" w:type="dxa"/>
            </w:tcMar>
          </w:tcPr>
          <w:p>
            <w:pPr>
              <w:spacing w:after="0"/>
            </w:pPr>
            <w:r>
              <w:rPr>
                <w:rFonts w:ascii="Aptos" w:hAnsi="Aptos"/>
                <w:sz w:val="18"/>
              </w:rPr>
              <w:t>Focus 12, expanded awareness</w:t>
            </w:r>
          </w:p>
        </w:tc>
        <w:tc>
          <w:tcPr>
            <w:tcW w:type="dxa" w:w="3235"/>
            <w:vAlign w:val="center"/>
            <w:tcMar>
              <w:top w:w="90" w:type="dxa"/>
              <w:start w:w="110" w:type="dxa"/>
              <w:bottom w:w="90" w:type="dxa"/>
              <w:end w:w="110" w:type="dxa"/>
            </w:tcMar>
          </w:tcPr>
          <w:p>
            <w:pPr>
              <w:spacing w:after="0"/>
            </w:pPr>
            <w:r>
              <w:rPr>
                <w:rFonts w:ascii="Aptos" w:hAnsi="Aptos"/>
                <w:sz w:val="18"/>
              </w:rPr>
              <w:t>Broader internal attention, imagery, or felt spaciousness</w:t>
            </w:r>
          </w:p>
        </w:tc>
        <w:tc>
          <w:tcPr>
            <w:tcW w:type="dxa" w:w="3235"/>
            <w:vAlign w:val="center"/>
            <w:tcMar>
              <w:top w:w="90" w:type="dxa"/>
              <w:start w:w="110" w:type="dxa"/>
              <w:bottom w:w="90" w:type="dxa"/>
              <w:end w:w="110" w:type="dxa"/>
            </w:tcMar>
          </w:tcPr>
          <w:p>
            <w:pPr>
              <w:spacing w:after="0"/>
            </w:pPr>
            <w:r>
              <w:rPr>
                <w:rFonts w:ascii="Aptos" w:hAnsi="Aptos"/>
                <w:sz w:val="18"/>
              </w:rPr>
              <w:t>Access to an external information field</w:t>
            </w:r>
          </w:p>
        </w:tc>
      </w:tr>
      <w:tr>
        <w:tc>
          <w:tcPr>
            <w:tcW w:type="dxa" w:w="3235"/>
            <w:vAlign w:val="center"/>
            <w:tcMar>
              <w:top w:w="90" w:type="dxa"/>
              <w:start w:w="110" w:type="dxa"/>
              <w:bottom w:w="90" w:type="dxa"/>
              <w:end w:w="110" w:type="dxa"/>
            </w:tcMar>
            <w:shd w:fill="EEF5FA"/>
          </w:tcPr>
          <w:p>
            <w:pPr>
              <w:spacing w:after="0"/>
            </w:pPr>
            <w:r>
              <w:rPr>
                <w:rFonts w:ascii="Aptos" w:hAnsi="Aptos"/>
                <w:sz w:val="18"/>
              </w:rPr>
              <w:t>Focus 15 and 21</w:t>
            </w:r>
          </w:p>
        </w:tc>
        <w:tc>
          <w:tcPr>
            <w:tcW w:type="dxa" w:w="3235"/>
            <w:vAlign w:val="center"/>
            <w:tcMar>
              <w:top w:w="90" w:type="dxa"/>
              <w:start w:w="110" w:type="dxa"/>
              <w:bottom w:w="90" w:type="dxa"/>
              <w:end w:w="110" w:type="dxa"/>
            </w:tcMar>
            <w:shd w:fill="EEF5FA"/>
          </w:tcPr>
          <w:p>
            <w:pPr>
              <w:spacing w:after="0"/>
            </w:pPr>
            <w:r>
              <w:rPr>
                <w:rFonts w:ascii="Aptos" w:hAnsi="Aptos"/>
                <w:sz w:val="18"/>
              </w:rPr>
              <w:t>Program labels for timelessness and boundary-of-perception experiences</w:t>
            </w:r>
          </w:p>
        </w:tc>
        <w:tc>
          <w:tcPr>
            <w:tcW w:type="dxa" w:w="3235"/>
            <w:vAlign w:val="center"/>
            <w:tcMar>
              <w:top w:w="90" w:type="dxa"/>
              <w:start w:w="110" w:type="dxa"/>
              <w:bottom w:w="90" w:type="dxa"/>
              <w:end w:w="110" w:type="dxa"/>
            </w:tcMar>
            <w:shd w:fill="EEF5FA"/>
          </w:tcPr>
          <w:p>
            <w:pPr>
              <w:spacing w:after="0"/>
            </w:pPr>
            <w:r>
              <w:rPr>
                <w:rFonts w:ascii="Aptos" w:hAnsi="Aptos"/>
                <w:sz w:val="18"/>
              </w:rPr>
              <w:t>Literal travel to the past, future, or other dimensions</w:t>
            </w:r>
          </w:p>
        </w:tc>
      </w:tr>
      <w:tr>
        <w:tc>
          <w:tcPr>
            <w:tcW w:type="dxa" w:w="3235"/>
            <w:vAlign w:val="center"/>
            <w:tcMar>
              <w:top w:w="90" w:type="dxa"/>
              <w:start w:w="110" w:type="dxa"/>
              <w:bottom w:w="90" w:type="dxa"/>
              <w:end w:w="110" w:type="dxa"/>
            </w:tcMar>
          </w:tcPr>
          <w:p>
            <w:pPr>
              <w:spacing w:after="0"/>
            </w:pPr>
            <w:r>
              <w:rPr>
                <w:rFonts w:ascii="Aptos" w:hAnsi="Aptos"/>
                <w:sz w:val="18"/>
              </w:rPr>
              <w:t>Energy Conversion Box</w:t>
            </w:r>
          </w:p>
        </w:tc>
        <w:tc>
          <w:tcPr>
            <w:tcW w:type="dxa" w:w="3235"/>
            <w:vAlign w:val="center"/>
            <w:tcMar>
              <w:top w:w="90" w:type="dxa"/>
              <w:start w:w="110" w:type="dxa"/>
              <w:bottom w:w="90" w:type="dxa"/>
              <w:end w:w="110" w:type="dxa"/>
            </w:tcMar>
          </w:tcPr>
          <w:p>
            <w:pPr>
              <w:spacing w:after="0"/>
            </w:pPr>
            <w:r>
              <w:rPr>
                <w:rFonts w:ascii="Aptos" w:hAnsi="Aptos"/>
                <w:sz w:val="18"/>
              </w:rPr>
              <w:t>A visualization for temporarily setting aside worries and distractions</w:t>
            </w:r>
          </w:p>
        </w:tc>
        <w:tc>
          <w:tcPr>
            <w:tcW w:type="dxa" w:w="3235"/>
            <w:vAlign w:val="center"/>
            <w:tcMar>
              <w:top w:w="90" w:type="dxa"/>
              <w:start w:w="110" w:type="dxa"/>
              <w:bottom w:w="90" w:type="dxa"/>
              <w:end w:w="110" w:type="dxa"/>
            </w:tcMar>
          </w:tcPr>
          <w:p>
            <w:pPr>
              <w:spacing w:after="0"/>
            </w:pPr>
            <w:r>
              <w:rPr>
                <w:rFonts w:ascii="Aptos" w:hAnsi="Aptos"/>
                <w:sz w:val="18"/>
              </w:rPr>
              <w:t>A literal storage or conversion of physical energy</w:t>
            </w:r>
          </w:p>
        </w:tc>
      </w:tr>
      <w:tr>
        <w:tc>
          <w:tcPr>
            <w:tcW w:type="dxa" w:w="3235"/>
            <w:vAlign w:val="center"/>
            <w:tcMar>
              <w:top w:w="90" w:type="dxa"/>
              <w:start w:w="110" w:type="dxa"/>
              <w:bottom w:w="90" w:type="dxa"/>
              <w:end w:w="110" w:type="dxa"/>
            </w:tcMar>
            <w:shd w:fill="EEF5FA"/>
          </w:tcPr>
          <w:p>
            <w:pPr>
              <w:spacing w:after="0"/>
            </w:pPr>
            <w:r>
              <w:rPr>
                <w:rFonts w:ascii="Aptos" w:hAnsi="Aptos"/>
                <w:sz w:val="18"/>
              </w:rPr>
              <w:t>Resonant tuning</w:t>
            </w:r>
          </w:p>
        </w:tc>
        <w:tc>
          <w:tcPr>
            <w:tcW w:type="dxa" w:w="3235"/>
            <w:vAlign w:val="center"/>
            <w:tcMar>
              <w:top w:w="90" w:type="dxa"/>
              <w:start w:w="110" w:type="dxa"/>
              <w:bottom w:w="90" w:type="dxa"/>
              <w:end w:w="110" w:type="dxa"/>
            </w:tcMar>
            <w:shd w:fill="EEF5FA"/>
          </w:tcPr>
          <w:p>
            <w:pPr>
              <w:spacing w:after="0"/>
            </w:pPr>
            <w:r>
              <w:rPr>
                <w:rFonts w:ascii="Aptos" w:hAnsi="Aptos"/>
                <w:sz w:val="18"/>
              </w:rPr>
              <w:t>Extended exhalation, humming, vibration, and an attentional ritual</w:t>
            </w:r>
          </w:p>
        </w:tc>
        <w:tc>
          <w:tcPr>
            <w:tcW w:type="dxa" w:w="3235"/>
            <w:vAlign w:val="center"/>
            <w:tcMar>
              <w:top w:w="90" w:type="dxa"/>
              <w:start w:w="110" w:type="dxa"/>
              <w:bottom w:w="90" w:type="dxa"/>
              <w:end w:w="110" w:type="dxa"/>
            </w:tcMar>
            <w:shd w:fill="EEF5FA"/>
          </w:tcPr>
          <w:p>
            <w:pPr>
              <w:spacing w:after="0"/>
            </w:pPr>
            <w:r>
              <w:rPr>
                <w:rFonts w:ascii="Aptos" w:hAnsi="Aptos"/>
                <w:sz w:val="18"/>
              </w:rPr>
              <w:t>Coupling the body to planetary fields for communication</w:t>
            </w:r>
          </w:p>
        </w:tc>
      </w:tr>
      <w:tr>
        <w:tc>
          <w:tcPr>
            <w:tcW w:type="dxa" w:w="3235"/>
            <w:vAlign w:val="center"/>
            <w:tcMar>
              <w:top w:w="90" w:type="dxa"/>
              <w:start w:w="110" w:type="dxa"/>
              <w:bottom w:w="90" w:type="dxa"/>
              <w:end w:w="110" w:type="dxa"/>
            </w:tcMar>
          </w:tcPr>
          <w:p>
            <w:pPr>
              <w:spacing w:after="0"/>
            </w:pPr>
            <w:r>
              <w:rPr>
                <w:rFonts w:ascii="Aptos" w:hAnsi="Aptos"/>
                <w:sz w:val="18"/>
              </w:rPr>
              <w:t>Resonant Energy Balloon</w:t>
            </w:r>
          </w:p>
        </w:tc>
        <w:tc>
          <w:tcPr>
            <w:tcW w:type="dxa" w:w="3235"/>
            <w:vAlign w:val="center"/>
            <w:tcMar>
              <w:top w:w="90" w:type="dxa"/>
              <w:start w:w="110" w:type="dxa"/>
              <w:bottom w:w="90" w:type="dxa"/>
              <w:end w:w="110" w:type="dxa"/>
            </w:tcMar>
          </w:tcPr>
          <w:p>
            <w:pPr>
              <w:spacing w:after="0"/>
            </w:pPr>
            <w:r>
              <w:rPr>
                <w:rFonts w:ascii="Aptos" w:hAnsi="Aptos"/>
                <w:sz w:val="18"/>
              </w:rPr>
              <w:t>Protective imagery that may increase perceived safety and agency</w:t>
            </w:r>
          </w:p>
        </w:tc>
        <w:tc>
          <w:tcPr>
            <w:tcW w:type="dxa" w:w="3235"/>
            <w:vAlign w:val="center"/>
            <w:tcMar>
              <w:top w:w="90" w:type="dxa"/>
              <w:start w:w="110" w:type="dxa"/>
              <w:bottom w:w="90" w:type="dxa"/>
              <w:end w:w="110" w:type="dxa"/>
            </w:tcMar>
          </w:tcPr>
          <w:p>
            <w:pPr>
              <w:spacing w:after="0"/>
            </w:pPr>
            <w:r>
              <w:rPr>
                <w:rFonts w:ascii="Aptos" w:hAnsi="Aptos"/>
                <w:sz w:val="18"/>
              </w:rPr>
              <w:t>A measurable field that blocks noncorporeal entities</w:t>
            </w:r>
          </w:p>
        </w:tc>
      </w:tr>
      <w:tr>
        <w:tc>
          <w:tcPr>
            <w:tcW w:type="dxa" w:w="3235"/>
            <w:vAlign w:val="center"/>
            <w:tcMar>
              <w:top w:w="90" w:type="dxa"/>
              <w:start w:w="110" w:type="dxa"/>
              <w:bottom w:w="90" w:type="dxa"/>
              <w:end w:w="110" w:type="dxa"/>
            </w:tcMar>
            <w:shd w:fill="EEF5FA"/>
          </w:tcPr>
          <w:p>
            <w:pPr>
              <w:spacing w:after="0"/>
            </w:pPr>
            <w:r>
              <w:rPr>
                <w:rFonts w:ascii="Aptos" w:hAnsi="Aptos"/>
                <w:sz w:val="18"/>
              </w:rPr>
              <w:t>Patterning</w:t>
            </w:r>
          </w:p>
        </w:tc>
        <w:tc>
          <w:tcPr>
            <w:tcW w:type="dxa" w:w="3235"/>
            <w:vAlign w:val="center"/>
            <w:tcMar>
              <w:top w:w="90" w:type="dxa"/>
              <w:start w:w="110" w:type="dxa"/>
              <w:bottom w:w="90" w:type="dxa"/>
              <w:end w:w="110" w:type="dxa"/>
            </w:tcMar>
            <w:shd w:fill="EEF5FA"/>
          </w:tcPr>
          <w:p>
            <w:pPr>
              <w:spacing w:after="0"/>
            </w:pPr>
            <w:r>
              <w:rPr>
                <w:rFonts w:ascii="Aptos" w:hAnsi="Aptos"/>
                <w:sz w:val="18"/>
              </w:rPr>
              <w:t>Goal clarification, mental rehearsal, salience, and motivation</w:t>
            </w:r>
          </w:p>
        </w:tc>
        <w:tc>
          <w:tcPr>
            <w:tcW w:type="dxa" w:w="3235"/>
            <w:vAlign w:val="center"/>
            <w:tcMar>
              <w:top w:w="90" w:type="dxa"/>
              <w:start w:w="110" w:type="dxa"/>
              <w:bottom w:w="90" w:type="dxa"/>
              <w:end w:w="110" w:type="dxa"/>
            </w:tcMar>
            <w:shd w:fill="EEF5FA"/>
          </w:tcPr>
          <w:p>
            <w:pPr>
              <w:spacing w:after="0"/>
            </w:pPr>
            <w:r>
              <w:rPr>
                <w:rFonts w:ascii="Aptos" w:hAnsi="Aptos"/>
                <w:sz w:val="18"/>
              </w:rPr>
              <w:t>Thought alone altering outside events without a causal route</w:t>
            </w:r>
          </w:p>
        </w:tc>
      </w:tr>
      <w:tr>
        <w:tc>
          <w:tcPr>
            <w:tcW w:type="dxa" w:w="3235"/>
            <w:vAlign w:val="center"/>
            <w:tcMar>
              <w:top w:w="90" w:type="dxa"/>
              <w:start w:w="110" w:type="dxa"/>
              <w:bottom w:w="90" w:type="dxa"/>
              <w:end w:w="110" w:type="dxa"/>
            </w:tcMar>
          </w:tcPr>
          <w:p>
            <w:pPr>
              <w:spacing w:after="0"/>
            </w:pPr>
            <w:r>
              <w:rPr>
                <w:rFonts w:ascii="Aptos" w:hAnsi="Aptos"/>
                <w:sz w:val="18"/>
              </w:rPr>
              <w:t>Problem solving</w:t>
            </w:r>
          </w:p>
        </w:tc>
        <w:tc>
          <w:tcPr>
            <w:tcW w:type="dxa" w:w="3235"/>
            <w:vAlign w:val="center"/>
            <w:tcMar>
              <w:top w:w="90" w:type="dxa"/>
              <w:start w:w="110" w:type="dxa"/>
              <w:bottom w:w="90" w:type="dxa"/>
              <w:end w:w="110" w:type="dxa"/>
            </w:tcMar>
          </w:tcPr>
          <w:p>
            <w:pPr>
              <w:spacing w:after="0"/>
            </w:pPr>
            <w:r>
              <w:rPr>
                <w:rFonts w:ascii="Aptos" w:hAnsi="Aptos"/>
                <w:sz w:val="18"/>
              </w:rPr>
              <w:t>Incubation: define a problem, disengage, notice later associations, then test them</w:t>
            </w:r>
          </w:p>
        </w:tc>
        <w:tc>
          <w:tcPr>
            <w:tcW w:type="dxa" w:w="3235"/>
            <w:vAlign w:val="center"/>
            <w:tcMar>
              <w:top w:w="90" w:type="dxa"/>
              <w:start w:w="110" w:type="dxa"/>
              <w:bottom w:w="90" w:type="dxa"/>
              <w:end w:w="110" w:type="dxa"/>
            </w:tcMar>
          </w:tcPr>
          <w:p>
            <w:pPr>
              <w:spacing w:after="0"/>
            </w:pPr>
            <w:r>
              <w:rPr>
                <w:rFonts w:ascii="Aptos" w:hAnsi="Aptos"/>
                <w:sz w:val="18"/>
              </w:rPr>
              <w:t>Answers downloaded from a universal database</w:t>
            </w:r>
          </w:p>
        </w:tc>
      </w:tr>
      <w:tr>
        <w:tc>
          <w:tcPr>
            <w:tcW w:type="dxa" w:w="3235"/>
            <w:vAlign w:val="center"/>
            <w:tcMar>
              <w:top w:w="90" w:type="dxa"/>
              <w:start w:w="110" w:type="dxa"/>
              <w:bottom w:w="90" w:type="dxa"/>
              <w:end w:w="110" w:type="dxa"/>
            </w:tcMar>
            <w:shd w:fill="EEF5FA"/>
          </w:tcPr>
          <w:p>
            <w:pPr>
              <w:spacing w:after="0"/>
            </w:pPr>
            <w:r>
              <w:rPr>
                <w:rFonts w:ascii="Aptos" w:hAnsi="Aptos"/>
                <w:sz w:val="18"/>
              </w:rPr>
              <w:t>Living Body Map</w:t>
            </w:r>
          </w:p>
        </w:tc>
        <w:tc>
          <w:tcPr>
            <w:tcW w:type="dxa" w:w="3235"/>
            <w:vAlign w:val="center"/>
            <w:tcMar>
              <w:top w:w="90" w:type="dxa"/>
              <w:start w:w="110" w:type="dxa"/>
              <w:bottom w:w="90" w:type="dxa"/>
              <w:end w:w="110" w:type="dxa"/>
            </w:tcMar>
            <w:shd w:fill="EEF5FA"/>
          </w:tcPr>
          <w:p>
            <w:pPr>
              <w:spacing w:after="0"/>
            </w:pPr>
            <w:r>
              <w:rPr>
                <w:rFonts w:ascii="Aptos" w:hAnsi="Aptos"/>
                <w:sz w:val="18"/>
              </w:rPr>
              <w:t>Guided imagery and interoceptive attention</w:t>
            </w:r>
          </w:p>
        </w:tc>
        <w:tc>
          <w:tcPr>
            <w:tcW w:type="dxa" w:w="3235"/>
            <w:vAlign w:val="center"/>
            <w:tcMar>
              <w:top w:w="90" w:type="dxa"/>
              <w:start w:w="110" w:type="dxa"/>
              <w:bottom w:w="90" w:type="dxa"/>
              <w:end w:w="110" w:type="dxa"/>
            </w:tcMar>
            <w:shd w:fill="EEF5FA"/>
          </w:tcPr>
          <w:p>
            <w:pPr>
              <w:spacing w:after="0"/>
            </w:pPr>
            <w:r>
              <w:rPr>
                <w:rFonts w:ascii="Aptos" w:hAnsi="Aptos"/>
                <w:sz w:val="18"/>
              </w:rPr>
              <w:t>Treating tumors or other disease by imagined energy alone</w:t>
            </w:r>
          </w:p>
        </w:tc>
      </w:tr>
      <w:tr>
        <w:tc>
          <w:tcPr>
            <w:tcW w:type="dxa" w:w="3235"/>
            <w:vAlign w:val="center"/>
            <w:tcMar>
              <w:top w:w="90" w:type="dxa"/>
              <w:start w:w="110" w:type="dxa"/>
              <w:bottom w:w="90" w:type="dxa"/>
              <w:end w:w="110" w:type="dxa"/>
            </w:tcMar>
          </w:tcPr>
          <w:p>
            <w:pPr>
              <w:spacing w:after="0"/>
            </w:pPr>
            <w:r>
              <w:rPr>
                <w:rFonts w:ascii="Aptos" w:hAnsi="Aptos"/>
                <w:sz w:val="18"/>
              </w:rPr>
              <w:t>Out-of-body movement</w:t>
            </w:r>
          </w:p>
        </w:tc>
        <w:tc>
          <w:tcPr>
            <w:tcW w:type="dxa" w:w="3235"/>
            <w:vAlign w:val="center"/>
            <w:tcMar>
              <w:top w:w="90" w:type="dxa"/>
              <w:start w:w="110" w:type="dxa"/>
              <w:bottom w:w="90" w:type="dxa"/>
              <w:end w:w="110" w:type="dxa"/>
            </w:tcMar>
          </w:tcPr>
          <w:p>
            <w:pPr>
              <w:spacing w:after="0"/>
            </w:pPr>
            <w:r>
              <w:rPr>
                <w:rFonts w:ascii="Aptos" w:hAnsi="Aptos"/>
                <w:sz w:val="18"/>
              </w:rPr>
              <w:t>A change in embodied self-location or dreamlike perspective</w:t>
            </w:r>
          </w:p>
        </w:tc>
        <w:tc>
          <w:tcPr>
            <w:tcW w:type="dxa" w:w="3235"/>
            <w:vAlign w:val="center"/>
            <w:tcMar>
              <w:top w:w="90" w:type="dxa"/>
              <w:start w:w="110" w:type="dxa"/>
              <w:bottom w:w="90" w:type="dxa"/>
              <w:end w:w="110" w:type="dxa"/>
            </w:tcMar>
          </w:tcPr>
          <w:p>
            <w:pPr>
              <w:spacing w:after="0"/>
            </w:pPr>
            <w:r>
              <w:rPr>
                <w:rFonts w:ascii="Aptos" w:hAnsi="Aptos"/>
                <w:sz w:val="18"/>
              </w:rPr>
              <w:t>Veridical perception from a location outside the body</w:t>
            </w:r>
          </w:p>
        </w:tc>
      </w:tr>
      <w:tr>
        <w:tc>
          <w:tcPr>
            <w:tcW w:type="dxa" w:w="3235"/>
            <w:vAlign w:val="center"/>
            <w:tcMar>
              <w:top w:w="90" w:type="dxa"/>
              <w:start w:w="110" w:type="dxa"/>
              <w:bottom w:w="90" w:type="dxa"/>
              <w:end w:w="110" w:type="dxa"/>
            </w:tcMar>
            <w:shd w:fill="EEF5FA"/>
          </w:tcPr>
          <w:p>
            <w:pPr>
              <w:spacing w:after="0"/>
            </w:pPr>
            <w:r>
              <w:rPr>
                <w:rFonts w:ascii="Aptos" w:hAnsi="Aptos"/>
                <w:sz w:val="18"/>
              </w:rPr>
              <w:t>Remote viewing</w:t>
            </w:r>
          </w:p>
        </w:tc>
        <w:tc>
          <w:tcPr>
            <w:tcW w:type="dxa" w:w="3235"/>
            <w:vAlign w:val="center"/>
            <w:tcMar>
              <w:top w:w="90" w:type="dxa"/>
              <w:start w:w="110" w:type="dxa"/>
              <w:bottom w:w="90" w:type="dxa"/>
              <w:end w:w="110" w:type="dxa"/>
            </w:tcMar>
            <w:shd w:fill="EEF5FA"/>
          </w:tcPr>
          <w:p>
            <w:pPr>
              <w:spacing w:after="0"/>
            </w:pPr>
            <w:r>
              <w:rPr>
                <w:rFonts w:ascii="Aptos" w:hAnsi="Aptos"/>
                <w:sz w:val="18"/>
              </w:rPr>
              <w:t>A claim about information from a concealed target, suitable for blinded testing</w:t>
            </w:r>
          </w:p>
        </w:tc>
        <w:tc>
          <w:tcPr>
            <w:tcW w:type="dxa" w:w="3235"/>
            <w:vAlign w:val="center"/>
            <w:tcMar>
              <w:top w:w="90" w:type="dxa"/>
              <w:start w:w="110" w:type="dxa"/>
              <w:bottom w:w="90" w:type="dxa"/>
              <w:end w:w="110" w:type="dxa"/>
            </w:tcMar>
            <w:shd w:fill="EEF5FA"/>
          </w:tcPr>
          <w:p>
            <w:pPr>
              <w:spacing w:after="0"/>
            </w:pPr>
            <w:r>
              <w:rPr>
                <w:rFonts w:ascii="Aptos" w:hAnsi="Aptos"/>
                <w:sz w:val="18"/>
              </w:rPr>
              <w:t>Reliability, mechanism, and operational usefulness</w:t>
            </w:r>
          </w:p>
        </w:tc>
      </w:tr>
      <w:tr>
        <w:tc>
          <w:tcPr>
            <w:tcW w:type="dxa" w:w="3235"/>
            <w:vAlign w:val="center"/>
            <w:tcMar>
              <w:top w:w="90" w:type="dxa"/>
              <w:start w:w="110" w:type="dxa"/>
              <w:bottom w:w="90" w:type="dxa"/>
              <w:end w:w="110" w:type="dxa"/>
            </w:tcMar>
          </w:tcPr>
          <w:p>
            <w:pPr>
              <w:spacing w:after="0"/>
            </w:pPr>
            <w:r>
              <w:rPr>
                <w:rFonts w:ascii="Aptos" w:hAnsi="Aptos"/>
                <w:sz w:val="18"/>
              </w:rPr>
              <w:t>The Absolute</w:t>
            </w:r>
          </w:p>
        </w:tc>
        <w:tc>
          <w:tcPr>
            <w:tcW w:type="dxa" w:w="3235"/>
            <w:vAlign w:val="center"/>
            <w:tcMar>
              <w:top w:w="90" w:type="dxa"/>
              <w:start w:w="110" w:type="dxa"/>
              <w:bottom w:w="90" w:type="dxa"/>
              <w:end w:w="110" w:type="dxa"/>
            </w:tcMar>
          </w:tcPr>
          <w:p>
            <w:pPr>
              <w:spacing w:after="0"/>
            </w:pPr>
            <w:r>
              <w:rPr>
                <w:rFonts w:ascii="Aptos" w:hAnsi="Aptos"/>
                <w:sz w:val="18"/>
              </w:rPr>
              <w:t>A metaphysical model of unity, origin, and consciousness</w:t>
            </w:r>
          </w:p>
        </w:tc>
        <w:tc>
          <w:tcPr>
            <w:tcW w:type="dxa" w:w="3235"/>
            <w:vAlign w:val="center"/>
            <w:tcMar>
              <w:top w:w="90" w:type="dxa"/>
              <w:start w:w="110" w:type="dxa"/>
              <w:bottom w:w="90" w:type="dxa"/>
              <w:end w:w="110" w:type="dxa"/>
            </w:tcMar>
          </w:tcPr>
          <w:p>
            <w:pPr>
              <w:spacing w:after="0"/>
            </w:pPr>
            <w:r>
              <w:rPr>
                <w:rFonts w:ascii="Aptos" w:hAnsi="Aptos"/>
                <w:sz w:val="18"/>
              </w:rPr>
              <w:t>A conclusion established by quantum mechanics</w:t>
            </w:r>
          </w:p>
        </w:tc>
      </w:tr>
    </w:tbl>
    <w:p>
      <w:pPr>
        <w:spacing w:after="20"/>
      </w:pPr>
    </w:p>
    <w:p>
      <w:r>
        <w:t>This translation does not reduce the experiences to “nothing but imagination.” Imagery, expectation, and attention are active psychological processes. It places ordinary and extraordinary interpretations on different evidentiary tracks.</w:t>
      </w:r>
    </w:p>
    <w:p>
      <w:pPr>
        <w:pStyle w:val="Heading1"/>
      </w:pPr>
      <w:r>
        <w:t>Audio, entrainment, and Hemi-Sync</w:t>
      </w:r>
    </w:p>
    <w:p>
      <w:pPr>
        <w:pStyle w:val="Heading2"/>
      </w:pPr>
      <w:r>
        <w:t>What a binaural beat establishes</w:t>
      </w:r>
    </w:p>
    <w:p>
      <w:r>
        <w:t>When different tones reach each ear, a listener may perceive a beat related to their frequency difference. That percept is an auditory phenomenon. Researchers can then ask whether it produces a frequency-following neural response, changes connectivity, alters a reported state, or improves an outcome. Those are distinct layers.</w:t>
      </w:r>
    </w:p>
    <w:p>
      <w:r>
        <w:t>A 2023 systematic review examined 14 EEG studies of binaural-beat stimulation. Five supported entrainment, eight did not, and one was mixed; protocols, samples, and analyses varied substantially.</w:t>
      </w:r>
      <w:r>
        <w:t/>
      </w:r>
      <w:r>
        <w:footnoteReference w:id="3"/>
      </w:r>
      <w:r>
        <w:t xml:space="preserve"> A small 2020 active-control experiment found auditory responses to 7- and 40-Hz beats, with weaker cortical entrainment for binaural than monaural beats, but no change in self-reported mood. This directly illustrates why a measurable brain response and a meaningful psychological result cannot be treated as synonyms. </w:t>
      </w:r>
      <w:r>
        <w:rPr>
          <w:color w:val="415A78"/>
          <w:sz w:val="15"/>
          <w:vertAlign w:val="superscript"/>
        </w:rPr>
        <w:t>[N01, N04]</w:t>
      </w:r>
    </w:p>
    <w:p>
      <w:r>
        <w:t xml:space="preserve">Outcome studies are somewhat more encouraging. A 2019 meta-analysis pooled 22 studies and 35 effect sizes across cognition, anxiety, and pain and reported Hedges’ </w:t>
      </w:r>
      <w:r>
        <w:rPr>
          <w:i/>
        </w:rPr>
        <w:t>g</w:t>
      </w:r>
      <w:r>
        <w:t xml:space="preserve"> = 0.45.</w:t>
      </w:r>
      <w:r>
        <w:t/>
      </w:r>
      <w:r>
        <w:footnoteReference w:id="4"/>
      </w:r>
      <w:r>
        <w:t xml:space="preserve"> Pooling different outcomes does not mean every outcome improves by that amount, and it does not identify entrainment as the cause. A 2026 theta-beat review included 13 randomized trials with 630 adults; only four pain trials with 173 participants could be pooled, yielding a moderate standardized difference with low certainty. Anxiety and cognition were too heterogeneous to pool. </w:t>
      </w:r>
      <w:r>
        <w:rPr>
          <w:color w:val="415A78"/>
          <w:sz w:val="15"/>
          <w:vertAlign w:val="superscript"/>
        </w:rPr>
        <w:t>[N02, N03]</w:t>
      </w:r>
    </w:p>
    <w:p>
      <w:pPr>
        <w:pStyle w:val="Heading2"/>
      </w:pPr>
      <w:r>
        <w:t>Evidence specific to Hemi-Sync</w:t>
      </w:r>
    </w:p>
    <w:p>
      <w:r>
        <w:t>It would be inaccurate to say Hemi-Sync has never been studied. In a 2010 trial, 60 surgical outpatients were randomized to Hemi-Sync, music, or a blank tape; the Hemi-Sync group used less fentanyl, reported lower pain at one and 24 hours, and left earlier. A 2003 trial of 60 patients found no reduction in propofol required for induction or maintenance.</w:t>
      </w:r>
      <w:r>
        <w:t/>
      </w:r>
      <w:r>
        <w:footnoteReference w:id="5"/>
      </w:r>
      <w:r>
        <w:t xml:space="preserve"> The endpoints differ, so one is not a clean replication of the other. Both are small, context-specific trials. Neither tests Gateway’s Focus sequence, veridical out-of-body perception, remote viewing, or time travel. </w:t>
      </w:r>
      <w:r>
        <w:rPr>
          <w:color w:val="415A78"/>
          <w:sz w:val="15"/>
          <w:vertAlign w:val="superscript"/>
        </w:rPr>
        <w:t>[N05, N06]</w:t>
      </w:r>
    </w:p>
    <w:p>
      <w:pPr>
        <w:pStyle w:val="Heading2"/>
      </w:pPr>
      <w:r>
        <w:t>What “hemisphere synchronization” should mean</w:t>
      </w:r>
    </w:p>
    <w:p>
      <w:r>
        <w:t>The report defines Hemi-Sync as equal EEG amplitude and frequency in both hemispheres and combines this with a sharp analytical-left/intuitive-right division. Modern neuroscience accepts localized lateralization, but not the popular idea that a person or whole brain has a globally dominant left or right personality. A resting-state study of 1,011 people found lateralized local networks without a general left-brained/right-brained phenotype.</w:t>
      </w:r>
      <w:r>
        <w:t/>
      </w:r>
      <w:r>
        <w:footnoteReference w:id="6"/>
      </w:r>
      <w:r>
        <w:t xml:space="preserve"> Synchrony also occurs across many scales and measures. Any strong claim should specify electrodes, frequency band, time window, analysis, comparator, and behavioral consequence. </w:t>
      </w:r>
      <w:r>
        <w:rPr>
          <w:color w:val="415A78"/>
          <w:sz w:val="15"/>
          <w:vertAlign w:val="superscript"/>
        </w:rPr>
        <w:t>[N13]</w:t>
      </w:r>
    </w:p>
    <w:p>
      <w:r>
        <w:t>The fair conclusion is that audio can be a useful attentional scaffold for some people. The evidence does not justify treating a particular sensation, frequency number, or burst of imagery as proof of a special universal channel.</w:t>
      </w:r>
    </w:p>
    <w:p>
      <w:pPr>
        <w:pStyle w:val="Heading1"/>
      </w:pPr>
      <w:r>
        <w:t>Meditation, hypnosis, biofeedback, and imagery</w:t>
      </w:r>
    </w:p>
    <w:p>
      <w:pPr>
        <w:pStyle w:val="Heading2"/>
      </w:pPr>
      <w:r>
        <w:t>Meditation</w:t>
      </w:r>
    </w:p>
    <w:p>
      <w:r>
        <w:t>Structured meditation programs have evidence for selected outcomes. A major active-control review of 47 trials with 3,515 adults found small-to-moderate improvements in anxiety, depression, and pain, without establishing superiority to other active treatments.</w:t>
      </w:r>
      <w:r>
        <w:t/>
      </w:r>
      <w:r>
        <w:footnoteReference w:id="7"/>
      </w:r>
      <w:r>
        <w:t xml:space="preserve"> That review excluded audio-only programs without an in-person teacher, so it cannot simply be transferred to a recording package. NCCIH similarly describes potential benefits while emphasizing inconsistent methods, variable quality, and the need to retain conventional care. </w:t>
      </w:r>
      <w:r>
        <w:rPr>
          <w:color w:val="415A78"/>
          <w:sz w:val="15"/>
          <w:vertAlign w:val="superscript"/>
        </w:rPr>
        <w:t>[N09, N15]</w:t>
      </w:r>
    </w:p>
    <w:p>
      <w:r>
        <w:t>The report’s specific account of transcendental meditation—heart sounds creating standing waves in the cerebral ventricles that polarize the cortex and drive a Kundalini circuit—is not established by evidence cited here. The defensible elements are regulation of attention, changes in arousal, interoception, expectancy, repeated learning, and meaning-making. Those mechanisms are sufficient to make practice worthwhile without adding unsupported anatomy.</w:t>
      </w:r>
    </w:p>
    <w:p>
      <w:pPr>
        <w:pStyle w:val="Heading2"/>
      </w:pPr>
      <w:r>
        <w:t>Hypnosis</w:t>
      </w:r>
    </w:p>
    <w:p>
      <w:r>
        <w:t>Hypnosis can influence experience and behavior, especially in responsive people and particular contexts. A 2024 review of 70 studies and 6,078 participants found small additional reductions in clinical pain when hypnosis was added to usual care, but rated overall certainty very low.</w:t>
      </w:r>
      <w:r>
        <w:t/>
      </w:r>
      <w:r>
        <w:footnoteReference w:id="8"/>
      </w:r>
      <w:r>
        <w:t xml:space="preserve"> The report’s “left brain screening is switched off, so the right brain accepts instructions” story is a period model, not a current explanation. Attention, suggestion, expectancy, relationship, and context provide a more grounded vocabulary. </w:t>
      </w:r>
      <w:r>
        <w:rPr>
          <w:color w:val="415A78"/>
          <w:sz w:val="15"/>
          <w:vertAlign w:val="superscript"/>
        </w:rPr>
        <w:t>[N08]</w:t>
      </w:r>
    </w:p>
    <w:p>
      <w:pPr>
        <w:pStyle w:val="Heading2"/>
      </w:pPr>
      <w:r>
        <w:t>Biofeedback</w:t>
      </w:r>
    </w:p>
    <w:p>
      <w:r>
        <w:t>Biofeedback is the report’s most testable analogue because it closes a loop between intention and measured physiology. A 2017 meta-analysis of 24 heart-rate-variability biofeedback studies reported large average reductions in self-reported stress and anxiety, while calling for stronger controlled research.</w:t>
      </w:r>
      <w:r>
        <w:t/>
      </w:r>
      <w:r>
        <w:footnoteReference w:id="9"/>
      </w:r>
      <w:r>
        <w:t xml:space="preserve"> A temperature sensor can help someone learn peripheral warming or relaxation; that does not imply conscious access to every organ process, tumor destruction, or a universal energy field. </w:t>
      </w:r>
      <w:r>
        <w:rPr>
          <w:color w:val="415A78"/>
          <w:sz w:val="15"/>
          <w:vertAlign w:val="superscript"/>
        </w:rPr>
        <w:t>[N07]</w:t>
      </w:r>
    </w:p>
    <w:p>
      <w:pPr>
        <w:pStyle w:val="Heading2"/>
      </w:pPr>
      <w:r>
        <w:t>Imagery and problem solving</w:t>
      </w:r>
    </w:p>
    <w:p>
      <w:r>
        <w:t>The Energy Conversion Box can function as worry deferral: name a concern, imagine placing it aside, and return after practice. The Energy Balloon can act as safety imagery. Patterning can be translated into mental rehearsal plus an implementation step. Gateway problem solving resembles incubation: define the question precisely, rest attention, record later associations, and test them against reality.</w:t>
      </w:r>
    </w:p>
    <w:p>
      <w:r>
        <w:t>These interpretations are plausible adaptations, not direct trial results for the named Gateway tools. Their virtue is that they produce observable consequences: fewer interruptions, calmer attention, a completed behavior, or a solution that survives checking. If a symbol or insight emerges, record it before interpretation so memory does not reshape it around later events.</w:t>
      </w:r>
    </w:p>
    <w:p>
      <w:pPr>
        <w:pStyle w:val="Heading1"/>
      </w:pPr>
      <w:r>
        <w:t>Sleep, lucid dreams, and out-of-body experience</w:t>
      </w:r>
    </w:p>
    <w:p>
      <w:pPr>
        <w:pStyle w:val="Heading2"/>
      </w:pPr>
      <w:r>
        <w:t>REM sleep is not the deepest sleep</w:t>
      </w:r>
    </w:p>
    <w:p>
      <w:r>
        <w:t>The report calls REM “the deepest possible level of ordinary sleep.” Modern sleep staging distinguishes REM from non-REM stage N3, commonly called deep or slow-wave sleep. REM includes vivid dreaming and skeletal-muscle atonia, but the brain is not simply a right hemisphere awake while the left hemisphere shuts down. The paper’s use of REM is therefore historically understandable and scientifically outdated.</w:t>
      </w:r>
    </w:p>
    <w:p>
      <w:r>
        <w:t>Lucid dreaming nevertheless provides a valuable comparison because it shows how an altered state can be operationalized. In a four-laboratory study of 36 people, experimenters verified REM sleep and attempted two-way communication using ordinary sensory questions and prearranged eye or facial signals. Of 158 attempts during signal-verified lucid dreams, 29 responses were correct, five incorrect, 28 ambiguous, and 96 had no response.</w:t>
      </w:r>
      <w:r>
        <w:t/>
      </w:r>
      <w:r>
        <w:footnoteReference w:id="10"/>
      </w:r>
      <w:r>
        <w:t xml:space="preserve"> This demonstrates occasional communication during a verified dream state, not telepathy or awareness outside the body. </w:t>
      </w:r>
      <w:r>
        <w:rPr>
          <w:color w:val="415A78"/>
          <w:sz w:val="15"/>
          <w:vertAlign w:val="superscript"/>
        </w:rPr>
        <w:t>[N11]</w:t>
      </w:r>
    </w:p>
    <w:p>
      <w:pPr>
        <w:pStyle w:val="Heading2"/>
      </w:pPr>
      <w:r>
        <w:t>Out-of-body experiences are experiences before they are explanations</w:t>
      </w:r>
    </w:p>
    <w:p>
      <w:r>
        <w:t>Brain and multisensory studies show that self-location and body ownership are constructed and can shift. Electrical stimulation near the right angular gyrus repeatedly induced out-of-body-like perceptions in one patient. Virtual-reality conflicts have shifted healthy participants’ experienced self-location toward a seen body.</w:t>
      </w:r>
      <w:r>
        <w:t/>
      </w:r>
      <w:r>
        <w:footnoteReference w:id="11"/>
      </w:r>
      <w:r>
        <w:t xml:space="preserve"> These findings do not explain every spontaneous event and do not settle metaphysics. They establish that crucial features of disembodiment can arise through changes in bodily and vestibular integration. </w:t>
      </w:r>
      <w:r>
        <w:rPr>
          <w:color w:val="415A78"/>
          <w:sz w:val="15"/>
          <w:vertAlign w:val="superscript"/>
        </w:rPr>
        <w:t>[N10, N14]</w:t>
      </w:r>
    </w:p>
    <w:p>
      <w:r>
        <w:t>An external-information claim needs an additional test. Before feedback, the observer should record a concealed target’s discriminating features. Independent judges should compare the record with the target and matched decoys under blinding. Feeling located elsewhere, however intense, is not itself that test.</w:t>
      </w:r>
    </w:p>
    <w:p>
      <w:pPr>
        <w:pStyle w:val="Heading1"/>
      </w:pPr>
      <w:r>
        <w:t>Resonance, energy, holograms, and quantum physics</w:t>
      </w:r>
    </w:p>
    <w:p>
      <w:pPr>
        <w:pStyle w:val="Heading2"/>
      </w:pPr>
      <w:r>
        <w:t>Similar frequencies do not create a communication channel</w:t>
      </w:r>
    </w:p>
    <w:p>
      <w:r>
        <w:t>Sections 8–10 propose that deep relaxation organizes cardiovascular and bodily motion around 6.8–7.5 Hz, which then resonates with the Earth-ionosphere cavity and carries thoughts. Schumann resonances are real electromagnetic modes, mainly excited by lightning. Satellite observations identify a lowest mode near 7.8 Hz and higher modes near 14.3, 20.8, 27.3, and 33.8 Hz.</w:t>
      </w:r>
      <w:r>
        <w:t/>
      </w:r>
      <w:r>
        <w:footnoteReference w:id="12"/>
      </w:r>
      <w:r>
        <w:t xml:space="preserve"> The cited geophysics concerns atmospheric electromagnetic propagation, not mental communication. </w:t>
      </w:r>
      <w:r>
        <w:rPr>
          <w:color w:val="415A78"/>
          <w:sz w:val="15"/>
          <w:vertAlign w:val="superscript"/>
        </w:rPr>
        <w:t>[P08]</w:t>
      </w:r>
    </w:p>
    <w:p>
      <w:r>
        <w:t>Mechanical movement, pressure waves, neural electrical activity, and planetary electromagnetic fields are different variables. A shared frequency number does not demonstrate efficient coupling, adequate field strength, thought encoding, signal-to-noise ratio, or a decoder in another brain. A complete proposal would specify those links and predict an information-transfer result that ordinary channels cannot explain. The report does neither.</w:t>
      </w:r>
    </w:p>
    <w:p>
      <w:pPr>
        <w:pStyle w:val="Heading2"/>
      </w:pPr>
      <w:r>
        <w:t>“Energy” changes meaning inside the argument</w:t>
      </w:r>
    </w:p>
    <w:p>
      <w:r>
        <w:t>In physics, energy is a quantitatively defined property of a physical system. In the report it also becomes vitality, information, awareness, intention, and an infinite conscious ground. Those meanings may work poetically, but switching among them cannot serve as a proof. Matter having quantum structure does not entail that a thought broadcasts a readable record of itself to the universe.</w:t>
      </w:r>
    </w:p>
    <w:p>
      <w:r>
        <w:t>One useful audit is to ask four questions whenever “energy” appears:</w:t>
      </w:r>
    </w:p>
    <w:p>
      <w:pPr>
        <w:ind w:left="403" w:hanging="317"/>
      </w:pPr>
      <w:r>
        <w:t xml:space="preserve">1. </w:t>
      </w:r>
      <w:r>
        <w:t>What physical quantity is meant?</w:t>
      </w:r>
    </w:p>
    <w:p>
      <w:pPr>
        <w:ind w:left="403" w:hanging="317"/>
      </w:pPr>
      <w:r>
        <w:t xml:space="preserve">2. </w:t>
      </w:r>
      <w:r>
        <w:t>In what units would it be measured?</w:t>
      </w:r>
    </w:p>
    <w:p>
      <w:pPr>
        <w:ind w:left="403" w:hanging="317"/>
      </w:pPr>
      <w:r>
        <w:t xml:space="preserve">3. </w:t>
      </w:r>
      <w:r>
        <w:t>What instrument or observation detects it?</w:t>
      </w:r>
    </w:p>
    <w:p>
      <w:pPr>
        <w:ind w:left="403" w:hanging="317"/>
      </w:pPr>
      <w:r>
        <w:t xml:space="preserve">4. </w:t>
      </w:r>
      <w:r>
        <w:t>What result would count against the proposed connection?</w:t>
      </w:r>
    </w:p>
    <w:p>
      <w:r>
        <w:t>If the word instead names a felt sense of activation, heaviness, flow, or aliveness, record it as phenomenology. That is meaningful data of a different kind.</w:t>
      </w:r>
    </w:p>
    <w:p>
      <w:pPr>
        <w:pStyle w:val="Heading2"/>
      </w:pPr>
      <w:r>
        <w:t>Optical holograms, holonomic brain theory, and the universal hologram</w:t>
      </w:r>
    </w:p>
    <w:p>
      <w:r>
        <w:t>Optical holography is real distributed encoding. Karl Pribram used Fourier-like and holographic ideas to model how distributed neural patterns might support representation and memory. David Bohm’s implicate order offered a wider philosophical framework. McDonnell joins these into a claim that the mind can tune to a universal hologram and receive information without the senses.</w:t>
      </w:r>
      <w:r>
        <w:t/>
      </w:r>
      <w:r>
        <w:footnoteReference w:id="13"/>
      </w:r>
      <w:r>
        <w:t xml:space="preserve"> The missing bridge is decisive: a theory of distributed representation inside the brain does not establish an external store containing every event, a channel linking it to neural activity, or accurate readout of concealed facts. </w:t>
      </w:r>
      <w:r>
        <w:rPr>
          <w:color w:val="415A78"/>
          <w:sz w:val="15"/>
          <w:vertAlign w:val="superscript"/>
        </w:rPr>
        <w:t>[P09, P10]</w:t>
      </w:r>
    </w:p>
    <w:p>
      <w:r>
        <w:t xml:space="preserve">Modern “holographic” physics does not retroactively supply that bridge. The AdS/CFT correspondence introduced by Juan Maldacena is a mathematically constrained duality between particular physical descriptions and appeared fourteen years after the report. It is not an experiment in cosmic memory or meditation. Sharing the word </w:t>
      </w:r>
      <w:r>
        <w:rPr>
          <w:i/>
        </w:rPr>
        <w:t>holographic</w:t>
      </w:r>
      <w:r>
        <w:t xml:space="preserve"> does not make the theories equivalent. </w:t>
      </w:r>
      <w:r>
        <w:rPr>
          <w:color w:val="415A78"/>
          <w:sz w:val="15"/>
          <w:vertAlign w:val="superscript"/>
        </w:rPr>
        <w:t>[P11]</w:t>
      </w:r>
    </w:p>
    <w:p>
      <w:pPr>
        <w:pStyle w:val="Heading2"/>
      </w:pPr>
      <w:r>
        <w:t>The Planck-scale error</w:t>
      </w:r>
    </w:p>
    <w:p>
      <w:r>
        <w:t>Printed page 12 says an oscillation moves outside time-space when its speed drops below 10^-33 centimeters per second and calls that “Planck’s Distance.” Planck length is a length—approximately 1.616255 × 10^-35 metres, or 1.616255 × 10^-33 centimetres—not a speed.</w:t>
      </w:r>
      <w:r>
        <w:t/>
      </w:r>
      <w:r>
        <w:footnoteReference w:id="14"/>
      </w:r>
      <w:r>
        <w:t xml:space="preserve"> The sentence compares unlike dimensions. </w:t>
      </w:r>
      <w:r>
        <w:rPr>
          <w:color w:val="415A78"/>
          <w:sz w:val="15"/>
          <w:vertAlign w:val="superscript"/>
        </w:rPr>
        <w:t>[P12]</w:t>
      </w:r>
    </w:p>
    <w:p>
      <w:r>
        <w:t>The surrounding argument also mistakes the turning point of an oscillation for an exit from spacetime. An ordinary oscillator has zero instantaneous velocity at maximum displacement and remains in ordinary dynamics. Increasing frequency creates more turning points per second, not repeated departures from reality. This is a direct consistency error in the proposed mechanism, independent of anyone’s view about unusual consciousness.</w:t>
      </w:r>
    </w:p>
    <w:p>
      <w:pPr>
        <w:pStyle w:val="Heading2"/>
      </w:pPr>
      <w:r>
        <w:t>Entanglement, observation, and communication</w:t>
      </w:r>
    </w:p>
    <w:p>
      <w:r>
        <w:t>Bell-test experiments establish quantum correlations inconsistent with local hidden-variable models under their assumptions; the 2022 Nobel Prize recognized landmark work on entangled photons.</w:t>
      </w:r>
      <w:r>
        <w:t/>
      </w:r>
      <w:r>
        <w:footnoteReference w:id="15"/>
      </w:r>
      <w:r>
        <w:t xml:space="preserve"> These results do not show that intention selects desired macroscopic events or that minds exchange messages by entanglement. </w:t>
      </w:r>
      <w:r>
        <w:rPr>
          <w:color w:val="415A78"/>
          <w:sz w:val="15"/>
          <w:vertAlign w:val="superscript"/>
        </w:rPr>
        <w:t>[P13]</w:t>
      </w:r>
    </w:p>
    <w:p>
      <w:r>
        <w:t>Quantum teleportation makes the limitation concrete. The protocol transfers a quantum state using a prepared entangled pair plus two ordinary classical bits; it does not teleport matter, and entanglement alone is not a controllable faster-than-light message channel.</w:t>
      </w:r>
      <w:r>
        <w:t/>
      </w:r>
      <w:r>
        <w:footnoteReference w:id="16"/>
      </w:r>
      <w:r>
        <w:t xml:space="preserve"> Decoherence can arise through environmental interaction without a conscious observer. Debates over possible quantum processes in biology remain separate from evidence for Gateway’s nonlocal claims. </w:t>
      </w:r>
      <w:r>
        <w:rPr>
          <w:color w:val="415A78"/>
          <w:sz w:val="15"/>
          <w:vertAlign w:val="superscript"/>
        </w:rPr>
        <w:t>[P14–P17]</w:t>
      </w:r>
    </w:p>
    <w:p>
      <w:r>
        <w:t xml:space="preserve">The word </w:t>
      </w:r>
      <w:r>
        <w:rPr>
          <w:i/>
        </w:rPr>
        <w:t>quantum</w:t>
      </w:r>
      <w:r>
        <w:t xml:space="preserve"> should therefore invite precision, not awe. Identify the state, preparation, interaction, observable, probability, and classical information channel. If those are absent, the claim is philosophy or metaphor rather than a quantum experiment.</w:t>
      </w:r>
    </w:p>
    <w:p>
      <w:pPr>
        <w:pStyle w:val="Heading1"/>
      </w:pPr>
      <w:r>
        <w:t>Remote viewing and the standard of external verification</w:t>
      </w:r>
    </w:p>
    <w:p>
      <w:r>
        <w:t>Remote viewing deserves a balanced treatment because its literature is not accurately summarized as either “proven” or “nothing but chance.” It also must be separated from Hemi-Sync and the Gateway course; related historical programs do not make them the same intervention.</w:t>
      </w:r>
    </w:p>
    <w:p>
      <w:pPr>
        <w:pStyle w:val="Heading2"/>
      </w:pPr>
      <w:r>
        <w:t>The 1995 AIR disagreement</w:t>
      </w:r>
    </w:p>
    <w:p>
      <w:r>
        <w:t>Statistician Jessica Utts concluded that the accumulated statistical evidence established psychic functioning. She emphasized later controlled studies, consistency with other laboratories, and the difference between a repeatable average effect and guaranteed trial-by-trial performance.</w:t>
      </w:r>
      <w:r>
        <w:t/>
      </w:r>
      <w:r>
        <w:footnoteReference w:id="17"/>
      </w:r>
      <w:r>
        <w:t xml:space="preserve"> She also noted that training did not consistently improve ability and that the reviewed evidence did not support psychokinesis. </w:t>
      </w:r>
      <w:r>
        <w:rPr>
          <w:color w:val="415A78"/>
          <w:sz w:val="15"/>
          <w:vertAlign w:val="superscript"/>
        </w:rPr>
        <w:t>[P05]</w:t>
      </w:r>
    </w:p>
    <w:p>
      <w:r>
        <w:t>Psychologist Ray Hyman agreed that the later SAIC effects were too large and consistent to dismiss as ordinary statistical fluctuation and did not identify a single demonstrated flaw explaining them. He nevertheless disputed the paranormal conclusion.</w:t>
      </w:r>
      <w:r>
        <w:t/>
      </w:r>
      <w:r>
        <w:footnoteReference w:id="18"/>
      </w:r>
      <w:r>
        <w:t xml:space="preserve"> His concerns included repeated viewers, targets, laboratory personnel, and judges; limited independent scrutiny; and inadequate independent replication. A stable procedure can reproduce a stable artifact. He wanted new settings, independent judging, and evidence that positively identifies the phenomenon. </w:t>
      </w:r>
      <w:r>
        <w:rPr>
          <w:color w:val="415A78"/>
          <w:sz w:val="15"/>
          <w:vertAlign w:val="superscript"/>
        </w:rPr>
        <w:t>[P06]</w:t>
      </w:r>
    </w:p>
    <w:p>
      <w:r>
        <w:t xml:space="preserve">Utts replied that unknown hypothetical flaws should not indefinitely trump controlled results and that effects can be accepted before their mechanism is known. Hyman’s stronger demand was for independent discrimination before adding a new causal category. The productive response is to preregister a design both positions would recognize as probative and then run it transparently. </w:t>
      </w:r>
      <w:r>
        <w:rPr>
          <w:color w:val="415A78"/>
          <w:sz w:val="15"/>
          <w:vertAlign w:val="superscript"/>
        </w:rPr>
        <w:t>[P07]</w:t>
      </w:r>
    </w:p>
    <w:p>
      <w:pPr>
        <w:pStyle w:val="Heading2"/>
      </w:pPr>
      <w:r>
        <w:t>Operational usefulness</w:t>
      </w:r>
    </w:p>
    <w:p>
      <w:r>
        <w:t>Statistical anomaly and useful intelligence are different thresholds. The CIA’s historical account says it did not restore the program after the 1995 evaluation because performance was unreliable. Published AIR excerpts describe broad, inaccurate, and irrelevant material; an inability to identify correct details before independent verification; and no demonstrated actionable value in the examined operations.</w:t>
      </w:r>
      <w:r>
        <w:t/>
      </w:r>
      <w:r>
        <w:footnoteReference w:id="19"/>
      </w:r>
      <w:r>
        <w:t xml:space="preserve"> A method that occasionally looks impressive after feedback may still fail when a decision-maker must act before knowing the answer. </w:t>
      </w:r>
      <w:r>
        <w:rPr>
          <w:color w:val="415A78"/>
          <w:sz w:val="15"/>
          <w:vertAlign w:val="superscript"/>
        </w:rPr>
        <w:t>[P18, P19]</w:t>
      </w:r>
    </w:p>
    <w:p>
      <w:pPr>
        <w:pStyle w:val="Heading2"/>
      </w:pPr>
      <w:r>
        <w:t>Later favorable evidence and methodological caution</w:t>
      </w:r>
    </w:p>
    <w:p>
      <w:r>
        <w:t>A 2023 remote-viewing meta-analysis covered 36 studies and 40 effect sizes and reported a pooled effect of .34 after outlier exclusion, with a 95% confidence interval from .22 to .45.</w:t>
      </w:r>
      <w:r>
        <w:t/>
      </w:r>
      <w:r>
        <w:footnoteReference w:id="20"/>
      </w:r>
      <w:r>
        <w:t xml:space="preserve"> This is meaningful affirmative evidence. A meta-analysis of earlier studies does not independently reproduce them, and a failure to detect publication bias is not proof that none exists. The pooled effect is not an accuracy percentage and does not establish a Gateway mechanism. </w:t>
      </w:r>
      <w:r>
        <w:rPr>
          <w:color w:val="415A78"/>
          <w:sz w:val="15"/>
          <w:vertAlign w:val="superscript"/>
        </w:rPr>
        <w:t>[P20]</w:t>
      </w:r>
    </w:p>
    <w:p>
      <w:r>
        <w:t xml:space="preserve">Another 2023 study reported above-chance results in 634 participants using a modified forced-choice task. Prior psychic-experience groups and target format covaried, which limits causal interpretations about belief or emotional intelligence. It is an anomaly worth scrutinizing, not a trial showing Gateway training works. </w:t>
      </w:r>
      <w:r>
        <w:rPr>
          <w:color w:val="415A78"/>
          <w:sz w:val="15"/>
          <w:vertAlign w:val="superscript"/>
        </w:rPr>
        <w:t>[P21]</w:t>
      </w:r>
    </w:p>
    <w:p>
      <w:r>
        <w:t>A 2026 metascience comparison found support for 16 of 100 preregistered parapsychology hypotheses versus 95 of 204 non-preregistered hypotheses.</w:t>
      </w:r>
      <w:r>
        <w:t/>
      </w:r>
      <w:r>
        <w:footnoteReference w:id="21"/>
      </w:r>
      <w:r>
        <w:t xml:space="preserve"> This is an observational field-level result, not a direct remote-viewing test, but it shows why prospective methods and complete reporting matter. </w:t>
      </w:r>
      <w:r>
        <w:rPr>
          <w:color w:val="415A78"/>
          <w:sz w:val="15"/>
          <w:vertAlign w:val="superscript"/>
        </w:rPr>
        <w:t>[P22]</w:t>
      </w:r>
    </w:p>
    <w:p>
      <w:r>
        <w:t>The current evidence justifies carefully designed research and calibrated uncertainty. It does not justify using impressions for medical, financial, legal, security, or interpersonal decisions.</w:t>
      </w:r>
    </w:p>
    <w:p>
      <w:pPr>
        <w:pStyle w:val="Heading1"/>
      </w:pPr>
      <w:r>
        <w:t>Spiritual and philosophical implications</w:t>
      </w:r>
    </w:p>
    <w:p>
      <w:r>
        <w:t>McDonnell’s later sections compare the “Absolute,” universal hologram, torus, mystical unity, Hindu imagery, Tibetan teachings, Hebrew mysticism, and the Christian Trinity. These comparisons may be meaningful to a reader as contemplative analogies. They do not establish historical identity among traditions, and similarity of imagery does not demonstrate a common physical mechanism.</w:t>
      </w:r>
    </w:p>
    <w:p>
      <w:r>
        <w:t>Three reading modes can coexist:</w:t>
      </w:r>
    </w:p>
    <w:p>
      <w:pPr>
        <w:pStyle w:val="ListBullet"/>
      </w:pPr>
      <w:r>
        <w:rPr>
          <w:b/>
        </w:rPr>
        <w:t>Phenomenological:</w:t>
      </w:r>
      <w:r>
        <w:t xml:space="preserve"> What changes in attention, body sense, imagery, emotion, time sense, and identity?</w:t>
      </w:r>
    </w:p>
    <w:p>
      <w:pPr>
        <w:pStyle w:val="ListBullet"/>
      </w:pPr>
      <w:r>
        <w:rPr>
          <w:b/>
        </w:rPr>
        <w:t>Philosophical:</w:t>
      </w:r>
      <w:r>
        <w:t xml:space="preserve"> What view of mind, self, reality, knowledge, or death does the experience invite?</w:t>
      </w:r>
    </w:p>
    <w:p>
      <w:pPr>
        <w:pStyle w:val="ListBullet"/>
      </w:pPr>
      <w:r>
        <w:rPr>
          <w:b/>
        </w:rPr>
        <w:t>Empirical:</w:t>
      </w:r>
      <w:r>
        <w:t xml:space="preserve"> Which claims predict observations that can be independently measured and potentially falsified?</w:t>
      </w:r>
    </w:p>
    <w:p>
      <w:r>
        <w:t>Confusion arises when the conclusion of one mode is imported into another without argument. A feeling of unity may matter spiritually without measuring a cosmological topology. A mathematical duality may illuminate physics without guaranteeing survival after death. An experiment can test hidden-target identification without resolving the ultimate nature of consciousness.</w:t>
      </w:r>
    </w:p>
    <w:p>
      <w:r>
        <w:t>The report’s deepest practical theme is self-knowledge. That theme survives its failed physics if it is expressed as better awareness of attention, emotion, bodily signals, expectation, and behavior. “Embodiment” then means carrying insights into sleep, work, relationships, and decisions—not collecting increasingly dramatic states.</w:t>
      </w:r>
    </w:p>
    <w:p>
      <w:pPr>
        <w:pStyle w:val="Heading1"/>
      </w:pPr>
      <w:r>
        <w:t>Implications for readers and practitioners</w:t>
      </w:r>
    </w:p>
    <w:p>
      <w:pPr>
        <w:pStyle w:val="Heading2"/>
      </w:pPr>
      <w:r>
        <w:t>Government records</w:t>
      </w:r>
    </w:p>
    <w:p>
      <w:r>
        <w:t>Official interest shows that institutions explored uncertain possibilities, especially in a Cold War setting. It does not imply a hidden scientific consensus. A document’s letterhead establishes provenance; the argument and evidence still require evaluation.</w:t>
      </w:r>
    </w:p>
    <w:p>
      <w:pPr>
        <w:pStyle w:val="Heading2"/>
      </w:pPr>
      <w:r>
        <w:t>Consciousness research</w:t>
      </w:r>
    </w:p>
    <w:p>
      <w:r>
        <w:t>First-person reports are data about experience. Third-person measures—EEG, polysomnography, physiology, behavior, and blinded target scores—answer different questions. Strong research connects them without pretending one can replace the other.</w:t>
      </w:r>
    </w:p>
    <w:p>
      <w:pPr>
        <w:pStyle w:val="Heading2"/>
      </w:pPr>
      <w:r>
        <w:t>Personal development</w:t>
      </w:r>
    </w:p>
    <w:p>
      <w:r>
        <w:t>Gateway can be approached as structured attention and imagery practice. Benefits should be judged by durable outcomes: sleep, concentration, emotional regulation, completed actions, relationships, and clear thinking. Intensity, tingling, timelessness, or unusual imagery can be interesting but are not reliable rankings of progress.</w:t>
      </w:r>
    </w:p>
    <w:p>
      <w:pPr>
        <w:pStyle w:val="Heading2"/>
      </w:pPr>
      <w:r>
        <w:t>Epistemic discipline</w:t>
      </w:r>
    </w:p>
    <w:p>
      <w:r>
        <w:t>Record observations before feedback, preserve misses, and distinguish prediction from reinterpretation. Treat confidence as something earned by discriminating tests. A practice that increases calm while decreasing reality checking is not a balanced success.</w:t>
      </w:r>
    </w:p>
    <w:p>
      <w:pPr>
        <w:pStyle w:val="Heading1"/>
      </w:pPr>
      <w:r>
        <w:t>Six-week learning and practice path</w:t>
      </w:r>
    </w:p>
    <w:p>
      <w:r>
        <w:t>This path is designed for education and self-observation. It does not require buying a retreat, device, or recording series. A legally obtained Gateway or Hemi-Sync recording can be added as one condition rather than treated as a prerequisite.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1"/>
        <w:gridCol w:w="1941"/>
        <w:gridCol w:w="1941"/>
        <w:gridCol w:w="1941"/>
        <w:gridCol w:w="1941"/>
      </w:tblGrid>
      <w:tr>
        <w:trPr>
          <w:tblHeader w:val="true"/>
        </w:trPr>
        <w:tc>
          <w:tcPr>
            <w:tcW w:type="dxa" w:w="1941"/>
            <w:vAlign w:val="center"/>
            <w:tcMar>
              <w:top w:w="90" w:type="dxa"/>
              <w:start w:w="110" w:type="dxa"/>
              <w:bottom w:w="90" w:type="dxa"/>
              <w:end w:w="110" w:type="dxa"/>
            </w:tcMar>
            <w:shd w:fill="17365D"/>
          </w:tcPr>
          <w:p>
            <w:pPr>
              <w:spacing w:after="0"/>
            </w:pPr>
            <w:r>
              <w:rPr>
                <w:rFonts w:ascii="Aptos" w:hAnsi="Aptos"/>
                <w:b/>
                <w:color w:val="FFFFFF"/>
                <w:sz w:val="17"/>
              </w:rPr>
              <w:t>Week</w:t>
            </w:r>
          </w:p>
        </w:tc>
        <w:tc>
          <w:tcPr>
            <w:tcW w:type="dxa" w:w="1941"/>
            <w:vAlign w:val="center"/>
            <w:tcMar>
              <w:top w:w="90" w:type="dxa"/>
              <w:start w:w="110" w:type="dxa"/>
              <w:bottom w:w="90" w:type="dxa"/>
              <w:end w:w="110" w:type="dxa"/>
            </w:tcMar>
            <w:shd w:fill="17365D"/>
          </w:tcPr>
          <w:p>
            <w:pPr>
              <w:spacing w:after="0"/>
            </w:pPr>
            <w:r>
              <w:rPr>
                <w:rFonts w:ascii="Aptos" w:hAnsi="Aptos"/>
                <w:b/>
                <w:color w:val="FFFFFF"/>
                <w:sz w:val="17"/>
              </w:rPr>
              <w:t>Focus</w:t>
            </w:r>
          </w:p>
        </w:tc>
        <w:tc>
          <w:tcPr>
            <w:tcW w:type="dxa" w:w="1941"/>
            <w:vAlign w:val="center"/>
            <w:tcMar>
              <w:top w:w="90" w:type="dxa"/>
              <w:start w:w="110" w:type="dxa"/>
              <w:bottom w:w="90" w:type="dxa"/>
              <w:end w:w="110" w:type="dxa"/>
            </w:tcMar>
            <w:shd w:fill="17365D"/>
          </w:tcPr>
          <w:p>
            <w:pPr>
              <w:spacing w:after="0"/>
            </w:pPr>
            <w:r>
              <w:rPr>
                <w:rFonts w:ascii="Aptos" w:hAnsi="Aptos"/>
                <w:b/>
                <w:color w:val="FFFFFF"/>
                <w:sz w:val="17"/>
              </w:rPr>
              <w:t>Practice</w:t>
            </w:r>
          </w:p>
        </w:tc>
        <w:tc>
          <w:tcPr>
            <w:tcW w:type="dxa" w:w="1941"/>
            <w:vAlign w:val="center"/>
            <w:tcMar>
              <w:top w:w="90" w:type="dxa"/>
              <w:start w:w="110" w:type="dxa"/>
              <w:bottom w:w="90" w:type="dxa"/>
              <w:end w:w="110" w:type="dxa"/>
            </w:tcMar>
            <w:shd w:fill="17365D"/>
          </w:tcPr>
          <w:p>
            <w:pPr>
              <w:spacing w:after="0"/>
            </w:pPr>
            <w:r>
              <w:rPr>
                <w:rFonts w:ascii="Aptos" w:hAnsi="Aptos"/>
                <w:b/>
                <w:color w:val="FFFFFF"/>
                <w:sz w:val="17"/>
              </w:rPr>
              <w:t>Evidence habit</w:t>
            </w:r>
          </w:p>
        </w:tc>
        <w:tc>
          <w:tcPr>
            <w:tcW w:type="dxa" w:w="1941"/>
            <w:vAlign w:val="center"/>
            <w:tcMar>
              <w:top w:w="90" w:type="dxa"/>
              <w:start w:w="110" w:type="dxa"/>
              <w:bottom w:w="90" w:type="dxa"/>
              <w:end w:w="110" w:type="dxa"/>
            </w:tcMar>
            <w:shd w:fill="17365D"/>
          </w:tcPr>
          <w:p>
            <w:pPr>
              <w:spacing w:after="0"/>
            </w:pPr>
            <w:r>
              <w:rPr>
                <w:rFonts w:ascii="Aptos" w:hAnsi="Aptos"/>
                <w:b/>
                <w:color w:val="FFFFFF"/>
                <w:sz w:val="17"/>
              </w:rPr>
              <w:t>Practical outcome</w:t>
            </w:r>
          </w:p>
        </w:tc>
      </w:tr>
      <w:tr>
        <w:tc>
          <w:tcPr>
            <w:tcW w:type="dxa" w:w="1941"/>
            <w:vAlign w:val="center"/>
            <w:tcMar>
              <w:top w:w="90" w:type="dxa"/>
              <w:start w:w="110" w:type="dxa"/>
              <w:bottom w:w="90" w:type="dxa"/>
              <w:end w:w="110" w:type="dxa"/>
            </w:tcMar>
          </w:tcPr>
          <w:p>
            <w:pPr>
              <w:spacing w:after="0"/>
            </w:pPr>
            <w:r>
              <w:rPr>
                <w:rFonts w:ascii="Aptos" w:hAnsi="Aptos"/>
                <w:sz w:val="17"/>
              </w:rPr>
              <w:t>0</w:t>
            </w:r>
          </w:p>
        </w:tc>
        <w:tc>
          <w:tcPr>
            <w:tcW w:type="dxa" w:w="1941"/>
            <w:vAlign w:val="center"/>
            <w:tcMar>
              <w:top w:w="90" w:type="dxa"/>
              <w:start w:w="110" w:type="dxa"/>
              <w:bottom w:w="90" w:type="dxa"/>
              <w:end w:w="110" w:type="dxa"/>
            </w:tcMar>
          </w:tcPr>
          <w:p>
            <w:pPr>
              <w:spacing w:after="0"/>
            </w:pPr>
            <w:r>
              <w:rPr>
                <w:rFonts w:ascii="Aptos" w:hAnsi="Aptos"/>
                <w:sz w:val="17"/>
              </w:rPr>
              <w:t>Baseline and intent</w:t>
            </w:r>
          </w:p>
        </w:tc>
        <w:tc>
          <w:tcPr>
            <w:tcW w:type="dxa" w:w="1941"/>
            <w:vAlign w:val="center"/>
            <w:tcMar>
              <w:top w:w="90" w:type="dxa"/>
              <w:start w:w="110" w:type="dxa"/>
              <w:bottom w:w="90" w:type="dxa"/>
              <w:end w:w="110" w:type="dxa"/>
            </w:tcMar>
          </w:tcPr>
          <w:p>
            <w:pPr>
              <w:spacing w:after="0"/>
            </w:pPr>
            <w:r>
              <w:rPr>
                <w:rFonts w:ascii="Aptos" w:hAnsi="Aptos"/>
                <w:sz w:val="17"/>
              </w:rPr>
              <w:t>Track sleep, stress, focus, and functioning without changing routine</w:t>
            </w:r>
          </w:p>
        </w:tc>
        <w:tc>
          <w:tcPr>
            <w:tcW w:type="dxa" w:w="1941"/>
            <w:vAlign w:val="center"/>
            <w:tcMar>
              <w:top w:w="90" w:type="dxa"/>
              <w:start w:w="110" w:type="dxa"/>
              <w:bottom w:w="90" w:type="dxa"/>
              <w:end w:w="110" w:type="dxa"/>
            </w:tcMar>
          </w:tcPr>
          <w:p>
            <w:pPr>
              <w:spacing w:after="0"/>
            </w:pPr>
            <w:r>
              <w:rPr>
                <w:rFonts w:ascii="Aptos" w:hAnsi="Aptos"/>
                <w:sz w:val="17"/>
              </w:rPr>
              <w:t>Define one primary outcome and one stop rule</w:t>
            </w:r>
          </w:p>
        </w:tc>
        <w:tc>
          <w:tcPr>
            <w:tcW w:type="dxa" w:w="1941"/>
            <w:vAlign w:val="center"/>
            <w:tcMar>
              <w:top w:w="90" w:type="dxa"/>
              <w:start w:w="110" w:type="dxa"/>
              <w:bottom w:w="90" w:type="dxa"/>
              <w:end w:w="110" w:type="dxa"/>
            </w:tcMar>
          </w:tcPr>
          <w:p>
            <w:pPr>
              <w:spacing w:after="0"/>
            </w:pPr>
            <w:r>
              <w:rPr>
                <w:rFonts w:ascii="Aptos" w:hAnsi="Aptos"/>
                <w:sz w:val="17"/>
              </w:rPr>
              <w:t>Know what “better” would mean</w:t>
            </w:r>
          </w:p>
        </w:tc>
      </w:tr>
      <w:tr>
        <w:tc>
          <w:tcPr>
            <w:tcW w:type="dxa" w:w="1941"/>
            <w:vAlign w:val="center"/>
            <w:tcMar>
              <w:top w:w="90" w:type="dxa"/>
              <w:start w:w="110" w:type="dxa"/>
              <w:bottom w:w="90" w:type="dxa"/>
              <w:end w:w="110" w:type="dxa"/>
            </w:tcMar>
            <w:shd w:fill="EEF5FA"/>
          </w:tcPr>
          <w:p>
            <w:pPr>
              <w:spacing w:after="0"/>
            </w:pPr>
            <w:r>
              <w:rPr>
                <w:rFonts w:ascii="Aptos" w:hAnsi="Aptos"/>
                <w:sz w:val="17"/>
              </w:rPr>
              <w:t>1</w:t>
            </w:r>
          </w:p>
        </w:tc>
        <w:tc>
          <w:tcPr>
            <w:tcW w:type="dxa" w:w="1941"/>
            <w:vAlign w:val="center"/>
            <w:tcMar>
              <w:top w:w="90" w:type="dxa"/>
              <w:start w:w="110" w:type="dxa"/>
              <w:bottom w:w="90" w:type="dxa"/>
              <w:end w:w="110" w:type="dxa"/>
            </w:tcMar>
            <w:shd w:fill="EEF5FA"/>
          </w:tcPr>
          <w:p>
            <w:pPr>
              <w:spacing w:after="0"/>
            </w:pPr>
            <w:r>
              <w:rPr>
                <w:rFonts w:ascii="Aptos" w:hAnsi="Aptos"/>
                <w:sz w:val="17"/>
              </w:rPr>
              <w:t>Attention and relaxation</w:t>
            </w:r>
          </w:p>
        </w:tc>
        <w:tc>
          <w:tcPr>
            <w:tcW w:type="dxa" w:w="1941"/>
            <w:vAlign w:val="center"/>
            <w:tcMar>
              <w:top w:w="90" w:type="dxa"/>
              <w:start w:w="110" w:type="dxa"/>
              <w:bottom w:w="90" w:type="dxa"/>
              <w:end w:w="110" w:type="dxa"/>
            </w:tcMar>
            <w:shd w:fill="EEF5FA"/>
          </w:tcPr>
          <w:p>
            <w:pPr>
              <w:spacing w:after="0"/>
            </w:pPr>
            <w:r>
              <w:rPr>
                <w:rFonts w:ascii="Aptos" w:hAnsi="Aptos"/>
                <w:sz w:val="17"/>
              </w:rPr>
              <w:t>Five to ten minutes of comfortable, unforced breathing or neutral sensory attention</w:t>
            </w:r>
          </w:p>
        </w:tc>
        <w:tc>
          <w:tcPr>
            <w:tcW w:type="dxa" w:w="1941"/>
            <w:vAlign w:val="center"/>
            <w:tcMar>
              <w:top w:w="90" w:type="dxa"/>
              <w:start w:w="110" w:type="dxa"/>
              <w:bottom w:w="90" w:type="dxa"/>
              <w:end w:w="110" w:type="dxa"/>
            </w:tcMar>
            <w:shd w:fill="EEF5FA"/>
          </w:tcPr>
          <w:p>
            <w:pPr>
              <w:spacing w:after="0"/>
            </w:pPr>
            <w:r>
              <w:rPr>
                <w:rFonts w:ascii="Aptos" w:hAnsi="Aptos"/>
                <w:sz w:val="17"/>
              </w:rPr>
              <w:t>Rate state before and after; record next-day function</w:t>
            </w:r>
          </w:p>
        </w:tc>
        <w:tc>
          <w:tcPr>
            <w:tcW w:type="dxa" w:w="1941"/>
            <w:vAlign w:val="center"/>
            <w:tcMar>
              <w:top w:w="90" w:type="dxa"/>
              <w:start w:w="110" w:type="dxa"/>
              <w:bottom w:w="90" w:type="dxa"/>
              <w:end w:w="110" w:type="dxa"/>
            </w:tcMar>
            <w:shd w:fill="EEF5FA"/>
          </w:tcPr>
          <w:p>
            <w:pPr>
              <w:spacing w:after="0"/>
            </w:pPr>
            <w:r>
              <w:rPr>
                <w:rFonts w:ascii="Aptos" w:hAnsi="Aptos"/>
                <w:sz w:val="17"/>
              </w:rPr>
              <w:t>Establish a simple reproducible routine</w:t>
            </w:r>
          </w:p>
        </w:tc>
      </w:tr>
      <w:tr>
        <w:tc>
          <w:tcPr>
            <w:tcW w:type="dxa" w:w="1941"/>
            <w:vAlign w:val="center"/>
            <w:tcMar>
              <w:top w:w="90" w:type="dxa"/>
              <w:start w:w="110" w:type="dxa"/>
              <w:bottom w:w="90" w:type="dxa"/>
              <w:end w:w="110" w:type="dxa"/>
            </w:tcMar>
          </w:tcPr>
          <w:p>
            <w:pPr>
              <w:spacing w:after="0"/>
            </w:pPr>
            <w:r>
              <w:rPr>
                <w:rFonts w:ascii="Aptos" w:hAnsi="Aptos"/>
                <w:sz w:val="17"/>
              </w:rPr>
              <w:t>2</w:t>
            </w:r>
          </w:p>
        </w:tc>
        <w:tc>
          <w:tcPr>
            <w:tcW w:type="dxa" w:w="1941"/>
            <w:vAlign w:val="center"/>
            <w:tcMar>
              <w:top w:w="90" w:type="dxa"/>
              <w:start w:w="110" w:type="dxa"/>
              <w:bottom w:w="90" w:type="dxa"/>
              <w:end w:w="110" w:type="dxa"/>
            </w:tcMar>
          </w:tcPr>
          <w:p>
            <w:pPr>
              <w:spacing w:after="0"/>
            </w:pPr>
            <w:r>
              <w:rPr>
                <w:rFonts w:ascii="Aptos" w:hAnsi="Aptos"/>
                <w:sz w:val="17"/>
              </w:rPr>
              <w:t>Audio comparison</w:t>
            </w:r>
          </w:p>
        </w:tc>
        <w:tc>
          <w:tcPr>
            <w:tcW w:type="dxa" w:w="1941"/>
            <w:vAlign w:val="center"/>
            <w:tcMar>
              <w:top w:w="90" w:type="dxa"/>
              <w:start w:w="110" w:type="dxa"/>
              <w:bottom w:w="90" w:type="dxa"/>
              <w:end w:w="110" w:type="dxa"/>
            </w:tcMar>
          </w:tcPr>
          <w:p>
            <w:pPr>
              <w:spacing w:after="0"/>
            </w:pPr>
            <w:r>
              <w:rPr>
                <w:rFonts w:ascii="Aptos" w:hAnsi="Aptos"/>
                <w:sz w:val="17"/>
              </w:rPr>
              <w:t>Compare quiet rest, ordinary relaxing audio, and optional binaural/Hemi-Sync audio at comfortable volume</w:t>
            </w:r>
          </w:p>
        </w:tc>
        <w:tc>
          <w:tcPr>
            <w:tcW w:type="dxa" w:w="1941"/>
            <w:vAlign w:val="center"/>
            <w:tcMar>
              <w:top w:w="90" w:type="dxa"/>
              <w:start w:w="110" w:type="dxa"/>
              <w:bottom w:w="90" w:type="dxa"/>
              <w:end w:w="110" w:type="dxa"/>
            </w:tcMar>
          </w:tcPr>
          <w:p>
            <w:pPr>
              <w:spacing w:after="0"/>
            </w:pPr>
            <w:r>
              <w:rPr>
                <w:rFonts w:ascii="Aptos" w:hAnsi="Aptos"/>
                <w:sz w:val="17"/>
              </w:rPr>
              <w:t>Randomize order when practical; keep session length equal</w:t>
            </w:r>
          </w:p>
        </w:tc>
        <w:tc>
          <w:tcPr>
            <w:tcW w:type="dxa" w:w="1941"/>
            <w:vAlign w:val="center"/>
            <w:tcMar>
              <w:top w:w="90" w:type="dxa"/>
              <w:start w:w="110" w:type="dxa"/>
              <w:bottom w:w="90" w:type="dxa"/>
              <w:end w:w="110" w:type="dxa"/>
            </w:tcMar>
          </w:tcPr>
          <w:p>
            <w:pPr>
              <w:spacing w:after="0"/>
            </w:pPr>
            <w:r>
              <w:rPr>
                <w:rFonts w:ascii="Aptos" w:hAnsi="Aptos"/>
                <w:sz w:val="17"/>
              </w:rPr>
              <w:t>Learn personal preference without claiming mechanism</w:t>
            </w:r>
          </w:p>
        </w:tc>
      </w:tr>
      <w:tr>
        <w:tc>
          <w:tcPr>
            <w:tcW w:type="dxa" w:w="1941"/>
            <w:vAlign w:val="center"/>
            <w:tcMar>
              <w:top w:w="90" w:type="dxa"/>
              <w:start w:w="110" w:type="dxa"/>
              <w:bottom w:w="90" w:type="dxa"/>
              <w:end w:w="110" w:type="dxa"/>
            </w:tcMar>
            <w:shd w:fill="EEF5FA"/>
          </w:tcPr>
          <w:p>
            <w:pPr>
              <w:spacing w:after="0"/>
            </w:pPr>
            <w:r>
              <w:rPr>
                <w:rFonts w:ascii="Aptos" w:hAnsi="Aptos"/>
                <w:sz w:val="17"/>
              </w:rPr>
              <w:t>3</w:t>
            </w:r>
          </w:p>
        </w:tc>
        <w:tc>
          <w:tcPr>
            <w:tcW w:type="dxa" w:w="1941"/>
            <w:vAlign w:val="center"/>
            <w:tcMar>
              <w:top w:w="90" w:type="dxa"/>
              <w:start w:w="110" w:type="dxa"/>
              <w:bottom w:w="90" w:type="dxa"/>
              <w:end w:w="110" w:type="dxa"/>
            </w:tcMar>
            <w:shd w:fill="EEF5FA"/>
          </w:tcPr>
          <w:p>
            <w:pPr>
              <w:spacing w:after="0"/>
            </w:pPr>
            <w:r>
              <w:rPr>
                <w:rFonts w:ascii="Aptos" w:hAnsi="Aptos"/>
                <w:sz w:val="17"/>
              </w:rPr>
              <w:t>Imagery and problem solving</w:t>
            </w:r>
          </w:p>
        </w:tc>
        <w:tc>
          <w:tcPr>
            <w:tcW w:type="dxa" w:w="1941"/>
            <w:vAlign w:val="center"/>
            <w:tcMar>
              <w:top w:w="90" w:type="dxa"/>
              <w:start w:w="110" w:type="dxa"/>
              <w:bottom w:w="90" w:type="dxa"/>
              <w:end w:w="110" w:type="dxa"/>
            </w:tcMar>
            <w:shd w:fill="EEF5FA"/>
          </w:tcPr>
          <w:p>
            <w:pPr>
              <w:spacing w:after="0"/>
            </w:pPr>
            <w:r>
              <w:rPr>
                <w:rFonts w:ascii="Aptos" w:hAnsi="Aptos"/>
                <w:sz w:val="17"/>
              </w:rPr>
              <w:t>Use a worry-container image, then pose one precise problem and rest attention</w:t>
            </w:r>
          </w:p>
        </w:tc>
        <w:tc>
          <w:tcPr>
            <w:tcW w:type="dxa" w:w="1941"/>
            <w:vAlign w:val="center"/>
            <w:tcMar>
              <w:top w:w="90" w:type="dxa"/>
              <w:start w:w="110" w:type="dxa"/>
              <w:bottom w:w="90" w:type="dxa"/>
              <w:end w:w="110" w:type="dxa"/>
            </w:tcMar>
            <w:shd w:fill="EEF5FA"/>
          </w:tcPr>
          <w:p>
            <w:pPr>
              <w:spacing w:after="0"/>
            </w:pPr>
            <w:r>
              <w:rPr>
                <w:rFonts w:ascii="Aptos" w:hAnsi="Aptos"/>
                <w:sz w:val="17"/>
              </w:rPr>
              <w:t>Write any answer before checking; convert it into a testable step</w:t>
            </w:r>
          </w:p>
        </w:tc>
        <w:tc>
          <w:tcPr>
            <w:tcW w:type="dxa" w:w="1941"/>
            <w:vAlign w:val="center"/>
            <w:tcMar>
              <w:top w:w="90" w:type="dxa"/>
              <w:start w:w="110" w:type="dxa"/>
              <w:bottom w:w="90" w:type="dxa"/>
              <w:end w:w="110" w:type="dxa"/>
            </w:tcMar>
            <w:shd w:fill="EEF5FA"/>
          </w:tcPr>
          <w:p>
            <w:pPr>
              <w:spacing w:after="0"/>
            </w:pPr>
            <w:r>
              <w:rPr>
                <w:rFonts w:ascii="Aptos" w:hAnsi="Aptos"/>
                <w:sz w:val="17"/>
              </w:rPr>
              <w:t>Link insight to action</w:t>
            </w:r>
          </w:p>
        </w:tc>
      </w:tr>
      <w:tr>
        <w:tc>
          <w:tcPr>
            <w:tcW w:type="dxa" w:w="1941"/>
            <w:vAlign w:val="center"/>
            <w:tcMar>
              <w:top w:w="90" w:type="dxa"/>
              <w:start w:w="110" w:type="dxa"/>
              <w:bottom w:w="90" w:type="dxa"/>
              <w:end w:w="110" w:type="dxa"/>
            </w:tcMar>
          </w:tcPr>
          <w:p>
            <w:pPr>
              <w:spacing w:after="0"/>
            </w:pPr>
            <w:r>
              <w:rPr>
                <w:rFonts w:ascii="Aptos" w:hAnsi="Aptos"/>
                <w:sz w:val="17"/>
              </w:rPr>
              <w:t>4</w:t>
            </w:r>
          </w:p>
        </w:tc>
        <w:tc>
          <w:tcPr>
            <w:tcW w:type="dxa" w:w="1941"/>
            <w:vAlign w:val="center"/>
            <w:tcMar>
              <w:top w:w="90" w:type="dxa"/>
              <w:start w:w="110" w:type="dxa"/>
              <w:bottom w:w="90" w:type="dxa"/>
              <w:end w:w="110" w:type="dxa"/>
            </w:tcMar>
          </w:tcPr>
          <w:p>
            <w:pPr>
              <w:spacing w:after="0"/>
            </w:pPr>
            <w:r>
              <w:rPr>
                <w:rFonts w:ascii="Aptos" w:hAnsi="Aptos"/>
                <w:sz w:val="17"/>
              </w:rPr>
              <w:t>Sleep and dream literacy</w:t>
            </w:r>
          </w:p>
        </w:tc>
        <w:tc>
          <w:tcPr>
            <w:tcW w:type="dxa" w:w="1941"/>
            <w:vAlign w:val="center"/>
            <w:tcMar>
              <w:top w:w="90" w:type="dxa"/>
              <w:start w:w="110" w:type="dxa"/>
              <w:bottom w:w="90" w:type="dxa"/>
              <w:end w:w="110" w:type="dxa"/>
            </w:tcMar>
          </w:tcPr>
          <w:p>
            <w:pPr>
              <w:spacing w:after="0"/>
            </w:pPr>
            <w:r>
              <w:rPr>
                <w:rFonts w:ascii="Aptos" w:hAnsi="Aptos"/>
                <w:sz w:val="17"/>
              </w:rPr>
              <w:t>Preserve sleep; keep a dream log; study REM, N3, sleep-onset imagery, and lucid-dream verification</w:t>
            </w:r>
          </w:p>
        </w:tc>
        <w:tc>
          <w:tcPr>
            <w:tcW w:type="dxa" w:w="1941"/>
            <w:vAlign w:val="center"/>
            <w:tcMar>
              <w:top w:w="90" w:type="dxa"/>
              <w:start w:w="110" w:type="dxa"/>
              <w:bottom w:w="90" w:type="dxa"/>
              <w:end w:w="110" w:type="dxa"/>
            </w:tcMar>
          </w:tcPr>
          <w:p>
            <w:pPr>
              <w:spacing w:after="0"/>
            </w:pPr>
            <w:r>
              <w:rPr>
                <w:rFonts w:ascii="Aptos" w:hAnsi="Aptos"/>
                <w:sz w:val="17"/>
              </w:rPr>
              <w:t>Separate dream content, later associations, and external facts</w:t>
            </w:r>
          </w:p>
        </w:tc>
        <w:tc>
          <w:tcPr>
            <w:tcW w:type="dxa" w:w="1941"/>
            <w:vAlign w:val="center"/>
            <w:tcMar>
              <w:top w:w="90" w:type="dxa"/>
              <w:start w:w="110" w:type="dxa"/>
              <w:bottom w:w="90" w:type="dxa"/>
              <w:end w:w="110" w:type="dxa"/>
            </w:tcMar>
          </w:tcPr>
          <w:p>
            <w:pPr>
              <w:spacing w:after="0"/>
            </w:pPr>
            <w:r>
              <w:rPr>
                <w:rFonts w:ascii="Aptos" w:hAnsi="Aptos"/>
                <w:sz w:val="17"/>
              </w:rPr>
              <w:t>Improve recall and conceptual clarity</w:t>
            </w:r>
          </w:p>
        </w:tc>
      </w:tr>
      <w:tr>
        <w:tc>
          <w:tcPr>
            <w:tcW w:type="dxa" w:w="1941"/>
            <w:vAlign w:val="center"/>
            <w:tcMar>
              <w:top w:w="90" w:type="dxa"/>
              <w:start w:w="110" w:type="dxa"/>
              <w:bottom w:w="90" w:type="dxa"/>
              <w:end w:w="110" w:type="dxa"/>
            </w:tcMar>
            <w:shd w:fill="EEF5FA"/>
          </w:tcPr>
          <w:p>
            <w:pPr>
              <w:spacing w:after="0"/>
            </w:pPr>
            <w:r>
              <w:rPr>
                <w:rFonts w:ascii="Aptos" w:hAnsi="Aptos"/>
                <w:sz w:val="17"/>
              </w:rPr>
              <w:t>5</w:t>
            </w:r>
          </w:p>
        </w:tc>
        <w:tc>
          <w:tcPr>
            <w:tcW w:type="dxa" w:w="1941"/>
            <w:vAlign w:val="center"/>
            <w:tcMar>
              <w:top w:w="90" w:type="dxa"/>
              <w:start w:w="110" w:type="dxa"/>
              <w:bottom w:w="90" w:type="dxa"/>
              <w:end w:w="110" w:type="dxa"/>
            </w:tcMar>
            <w:shd w:fill="EEF5FA"/>
          </w:tcPr>
          <w:p>
            <w:pPr>
              <w:spacing w:after="0"/>
            </w:pPr>
            <w:r>
              <w:rPr>
                <w:rFonts w:ascii="Aptos" w:hAnsi="Aptos"/>
                <w:sz w:val="17"/>
              </w:rPr>
              <w:t>Blind information exercise</w:t>
            </w:r>
          </w:p>
        </w:tc>
        <w:tc>
          <w:tcPr>
            <w:tcW w:type="dxa" w:w="1941"/>
            <w:vAlign w:val="center"/>
            <w:tcMar>
              <w:top w:w="90" w:type="dxa"/>
              <w:start w:w="110" w:type="dxa"/>
              <w:bottom w:w="90" w:type="dxa"/>
              <w:end w:w="110" w:type="dxa"/>
            </w:tcMar>
            <w:shd w:fill="EEF5FA"/>
          </w:tcPr>
          <w:p>
            <w:pPr>
              <w:spacing w:after="0"/>
            </w:pPr>
            <w:r>
              <w:rPr>
                <w:rFonts w:ascii="Aptos" w:hAnsi="Aptos"/>
                <w:sz w:val="17"/>
              </w:rPr>
              <w:t>Run a benign concealed-target protocol with decoys and independent judging</w:t>
            </w:r>
          </w:p>
        </w:tc>
        <w:tc>
          <w:tcPr>
            <w:tcW w:type="dxa" w:w="1941"/>
            <w:vAlign w:val="center"/>
            <w:tcMar>
              <w:top w:w="90" w:type="dxa"/>
              <w:start w:w="110" w:type="dxa"/>
              <w:bottom w:w="90" w:type="dxa"/>
              <w:end w:w="110" w:type="dxa"/>
            </w:tcMar>
            <w:shd w:fill="EEF5FA"/>
          </w:tcPr>
          <w:p>
            <w:pPr>
              <w:spacing w:after="0"/>
            </w:pPr>
            <w:r>
              <w:rPr>
                <w:rFonts w:ascii="Aptos" w:hAnsi="Aptos"/>
                <w:sz w:val="17"/>
              </w:rPr>
              <w:t>Precommit trials and scoring; include every result</w:t>
            </w:r>
          </w:p>
        </w:tc>
        <w:tc>
          <w:tcPr>
            <w:tcW w:type="dxa" w:w="1941"/>
            <w:vAlign w:val="center"/>
            <w:tcMar>
              <w:top w:w="90" w:type="dxa"/>
              <w:start w:w="110" w:type="dxa"/>
              <w:bottom w:w="90" w:type="dxa"/>
              <w:end w:w="110" w:type="dxa"/>
            </w:tcMar>
            <w:shd w:fill="EEF5FA"/>
          </w:tcPr>
          <w:p>
            <w:pPr>
              <w:spacing w:after="0"/>
            </w:pPr>
            <w:r>
              <w:rPr>
                <w:rFonts w:ascii="Aptos" w:hAnsi="Aptos"/>
                <w:sz w:val="17"/>
              </w:rPr>
              <w:t>Experience the difference between intuition and evidence</w:t>
            </w:r>
          </w:p>
        </w:tc>
      </w:tr>
      <w:tr>
        <w:tc>
          <w:tcPr>
            <w:tcW w:type="dxa" w:w="1941"/>
            <w:vAlign w:val="center"/>
            <w:tcMar>
              <w:top w:w="90" w:type="dxa"/>
              <w:start w:w="110" w:type="dxa"/>
              <w:bottom w:w="90" w:type="dxa"/>
              <w:end w:w="110" w:type="dxa"/>
            </w:tcMar>
          </w:tcPr>
          <w:p>
            <w:pPr>
              <w:spacing w:after="0"/>
            </w:pPr>
            <w:r>
              <w:rPr>
                <w:rFonts w:ascii="Aptos" w:hAnsi="Aptos"/>
                <w:sz w:val="17"/>
              </w:rPr>
              <w:t>6</w:t>
            </w:r>
          </w:p>
        </w:tc>
        <w:tc>
          <w:tcPr>
            <w:tcW w:type="dxa" w:w="1941"/>
            <w:vAlign w:val="center"/>
            <w:tcMar>
              <w:top w:w="90" w:type="dxa"/>
              <w:start w:w="110" w:type="dxa"/>
              <w:bottom w:w="90" w:type="dxa"/>
              <w:end w:w="110" w:type="dxa"/>
            </w:tcMar>
          </w:tcPr>
          <w:p>
            <w:pPr>
              <w:spacing w:after="0"/>
            </w:pPr>
            <w:r>
              <w:rPr>
                <w:rFonts w:ascii="Aptos" w:hAnsi="Aptos"/>
                <w:sz w:val="17"/>
              </w:rPr>
              <w:t>Integration and audit</w:t>
            </w:r>
          </w:p>
        </w:tc>
        <w:tc>
          <w:tcPr>
            <w:tcW w:type="dxa" w:w="1941"/>
            <w:vAlign w:val="center"/>
            <w:tcMar>
              <w:top w:w="90" w:type="dxa"/>
              <w:start w:w="110" w:type="dxa"/>
              <w:bottom w:w="90" w:type="dxa"/>
              <w:end w:w="110" w:type="dxa"/>
            </w:tcMar>
          </w:tcPr>
          <w:p>
            <w:pPr>
              <w:spacing w:after="0"/>
            </w:pPr>
            <w:r>
              <w:rPr>
                <w:rFonts w:ascii="Aptos" w:hAnsi="Aptos"/>
                <w:sz w:val="17"/>
              </w:rPr>
              <w:t>Review six weeks of records; keep only what improves ordinary life</w:t>
            </w:r>
          </w:p>
        </w:tc>
        <w:tc>
          <w:tcPr>
            <w:tcW w:type="dxa" w:w="1941"/>
            <w:vAlign w:val="center"/>
            <w:tcMar>
              <w:top w:w="90" w:type="dxa"/>
              <w:start w:w="110" w:type="dxa"/>
              <w:bottom w:w="90" w:type="dxa"/>
              <w:end w:w="110" w:type="dxa"/>
            </w:tcMar>
          </w:tcPr>
          <w:p>
            <w:pPr>
              <w:spacing w:after="0"/>
            </w:pPr>
            <w:r>
              <w:rPr>
                <w:rFonts w:ascii="Aptos" w:hAnsi="Aptos"/>
                <w:sz w:val="17"/>
              </w:rPr>
              <w:t>Compare baseline, expectancy, adherence, and outcomes</w:t>
            </w:r>
          </w:p>
        </w:tc>
        <w:tc>
          <w:tcPr>
            <w:tcW w:type="dxa" w:w="1941"/>
            <w:vAlign w:val="center"/>
            <w:tcMar>
              <w:top w:w="90" w:type="dxa"/>
              <w:start w:w="110" w:type="dxa"/>
              <w:bottom w:w="90" w:type="dxa"/>
              <w:end w:w="110" w:type="dxa"/>
            </w:tcMar>
          </w:tcPr>
          <w:p>
            <w:pPr>
              <w:spacing w:after="0"/>
            </w:pPr>
            <w:r>
              <w:rPr>
                <w:rFonts w:ascii="Aptos" w:hAnsi="Aptos"/>
                <w:sz w:val="17"/>
              </w:rPr>
              <w:t>Build a sustainable practice or stop cleanly</w:t>
            </w:r>
          </w:p>
        </w:tc>
      </w:tr>
    </w:tbl>
    <w:p>
      <w:pPr>
        <w:spacing w:after="20"/>
      </w:pPr>
    </w:p>
    <w:p>
      <w:pPr>
        <w:pStyle w:val="Heading2"/>
      </w:pPr>
      <w:r>
        <w:t>A simple session structure</w:t>
      </w:r>
    </w:p>
    <w:p>
      <w:pPr>
        <w:ind w:left="403" w:hanging="317"/>
      </w:pPr>
      <w:r>
        <w:t xml:space="preserve">1. </w:t>
      </w:r>
      <w:r>
        <w:rPr>
          <w:b/>
        </w:rPr>
        <w:t>Orient.</w:t>
      </w:r>
      <w:r>
        <w:t xml:space="preserve"> Sit or lie safely. Note the date, sleep quality, current stress, and the session condition.</w:t>
      </w:r>
    </w:p>
    <w:p>
      <w:pPr>
        <w:ind w:left="403" w:hanging="317"/>
      </w:pPr>
      <w:r>
        <w:t xml:space="preserve">2. </w:t>
      </w:r>
      <w:r>
        <w:rPr>
          <w:b/>
        </w:rPr>
        <w:t>Settle.</w:t>
      </w:r>
      <w:r>
        <w:t xml:space="preserve"> Use easy breathing and a neutral anchor. Humming may be used comfortably; no forceful breathing is needed.</w:t>
      </w:r>
    </w:p>
    <w:p>
      <w:pPr>
        <w:ind w:left="403" w:hanging="317"/>
      </w:pPr>
      <w:r>
        <w:t xml:space="preserve">3. </w:t>
      </w:r>
      <w:r>
        <w:rPr>
          <w:b/>
        </w:rPr>
        <w:t>Set aside.</w:t>
      </w:r>
      <w:r>
        <w:t xml:space="preserve"> Imagine placing current concerns in a container for the session, with an intention to retrieve them afterward.</w:t>
      </w:r>
    </w:p>
    <w:p>
      <w:pPr>
        <w:ind w:left="403" w:hanging="317"/>
      </w:pPr>
      <w:r>
        <w:t xml:space="preserve">4. </w:t>
      </w:r>
      <w:r>
        <w:rPr>
          <w:b/>
        </w:rPr>
        <w:t>Attend.</w:t>
      </w:r>
      <w:r>
        <w:t xml:space="preserve"> Follow the selected audio or silence. Let sensations and imagery occur without turning them immediately into facts.</w:t>
      </w:r>
    </w:p>
    <w:p>
      <w:pPr>
        <w:ind w:left="403" w:hanging="317"/>
      </w:pPr>
      <w:r>
        <w:t xml:space="preserve">5. </w:t>
      </w:r>
      <w:r>
        <w:rPr>
          <w:b/>
        </w:rPr>
        <w:t>Return.</w:t>
      </w:r>
      <w:r>
        <w:t xml:space="preserve"> Open the eyes, name objects in the room, move, and reorient before standing.</w:t>
      </w:r>
    </w:p>
    <w:p>
      <w:pPr>
        <w:ind w:left="403" w:hanging="317"/>
      </w:pPr>
      <w:r>
        <w:t xml:space="preserve">6. </w:t>
      </w:r>
      <w:r>
        <w:rPr>
          <w:b/>
        </w:rPr>
        <w:t>Record.</w:t>
      </w:r>
      <w:r>
        <w:t xml:space="preserve"> First write observations; then interpretations; then one ordinary action, if any.</w:t>
      </w:r>
    </w:p>
    <w:p>
      <w:r>
        <w:t>Start with short sessions. Increase duration only when sleep and daily functioning remain stable. More intensity is not automatically more learning.</w:t>
      </w:r>
    </w:p>
    <w:p>
      <w:pPr>
        <w:pStyle w:val="Heading2"/>
      </w:pPr>
      <w:r>
        <w:t>Personal audio comparison</w:t>
      </w:r>
    </w:p>
    <w:p>
      <w:r>
        <w:t>Use three conditions of equal length: quiet rest, ordinary relaxing music or neutral audio, and the target audio. Create a random order in advance and avoid changing volume between sessions. Record the main outcome before starting—for example, change in tension on a 0–10 scale—and one delayed outcome such as time to fall asleep or ability to complete a focused task.</w:t>
      </w:r>
    </w:p>
    <w:p>
      <w:r>
        <w:t>Because you know which audio you hear, expectancy remains a major limitation. The exercise can reveal personal usefulness; it cannot establish a universal mechanism. If one condition feels remarkable, repeat it in a new randomized block before drawing a conclusion.</w:t>
      </w:r>
    </w:p>
    <w:p>
      <w:pPr>
        <w:pStyle w:val="Heading2"/>
      </w:pPr>
      <w:r>
        <w:t>Benign remote-viewing test</w:t>
      </w:r>
    </w:p>
    <w:p>
      <w:pPr>
        <w:ind w:left="403" w:hanging="317"/>
      </w:pPr>
      <w:r>
        <w:t xml:space="preserve">1. </w:t>
      </w:r>
      <w:r>
        <w:t>Build a fixed pool of visually distinct, emotionally neutral images.</w:t>
      </w:r>
    </w:p>
    <w:p>
      <w:pPr>
        <w:ind w:left="403" w:hanging="317"/>
      </w:pPr>
      <w:r>
        <w:t xml:space="preserve">2. </w:t>
      </w:r>
      <w:r>
        <w:t>Let a computer or uninvolved person randomly select the target.</w:t>
      </w:r>
    </w:p>
    <w:p>
      <w:pPr>
        <w:ind w:left="403" w:hanging="317"/>
      </w:pPr>
      <w:r>
        <w:t xml:space="preserve">3. </w:t>
      </w:r>
      <w:r>
        <w:t>Keep the participant and session helper blind to it.</w:t>
      </w:r>
    </w:p>
    <w:p>
      <w:pPr>
        <w:ind w:left="403" w:hanging="317"/>
      </w:pPr>
      <w:r>
        <w:t xml:space="preserve">4. </w:t>
      </w:r>
      <w:r>
        <w:t>Record descriptions and drawings before any feedback.</w:t>
      </w:r>
    </w:p>
    <w:p>
      <w:pPr>
        <w:ind w:left="403" w:hanging="317"/>
      </w:pPr>
      <w:r>
        <w:t xml:space="preserve">5. </w:t>
      </w:r>
      <w:r>
        <w:t>Give an independent blind judge the record, the true target, and matched decoys in randomized order.</w:t>
      </w:r>
    </w:p>
    <w:p>
      <w:pPr>
        <w:ind w:left="403" w:hanging="317"/>
      </w:pPr>
      <w:r>
        <w:t xml:space="preserve">6. </w:t>
      </w:r>
      <w:r>
        <w:t>Fix the number of trials and scoring rule in advance.</w:t>
      </w:r>
    </w:p>
    <w:p>
      <w:pPr>
        <w:ind w:left="403" w:hanging="317"/>
      </w:pPr>
      <w:r>
        <w:t xml:space="preserve">7. </w:t>
      </w:r>
      <w:r>
        <w:t>Retain misses, ambiguous sessions, and timestamps.</w:t>
      </w:r>
    </w:p>
    <w:p>
      <w:pPr>
        <w:ind w:left="403" w:hanging="317"/>
      </w:pPr>
      <w:r>
        <w:t xml:space="preserve">8. </w:t>
      </w:r>
      <w:r>
        <w:t>If the first series is interesting, run a fresh confirmatory series before interpreting it.</w:t>
      </w:r>
    </w:p>
    <w:p>
      <w:r>
        <w:t>File names, thumbnails, screen reflections, timing patterns, helper reactions, target reuse, and feedback can all leak information. For a real research claim, obtain statistical and methodological review before collecting data.</w:t>
      </w:r>
    </w:p>
    <w:p>
      <w:pPr>
        <w:pStyle w:val="Heading2"/>
      </w:pPr>
      <w:r>
        <w:t>Journal template</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53"/>
        <w:gridCol w:w="4853"/>
      </w:tblGrid>
      <w:tr>
        <w:trPr>
          <w:tblHeader w:val="true"/>
        </w:trPr>
        <w:tc>
          <w:tcPr>
            <w:tcW w:type="dxa" w:w="4853"/>
            <w:vAlign w:val="center"/>
            <w:tcMar>
              <w:top w:w="90" w:type="dxa"/>
              <w:start w:w="110" w:type="dxa"/>
              <w:bottom w:w="90" w:type="dxa"/>
              <w:end w:w="110" w:type="dxa"/>
            </w:tcMar>
            <w:shd w:fill="17365D"/>
          </w:tcPr>
          <w:p>
            <w:pPr>
              <w:spacing w:after="0"/>
            </w:pPr>
            <w:r>
              <w:rPr>
                <w:rFonts w:ascii="Aptos" w:hAnsi="Aptos"/>
                <w:b/>
                <w:color w:val="FFFFFF"/>
                <w:sz w:val="18"/>
              </w:rPr>
              <w:t>Field</w:t>
            </w:r>
          </w:p>
        </w:tc>
        <w:tc>
          <w:tcPr>
            <w:tcW w:type="dxa" w:w="4853"/>
            <w:vAlign w:val="center"/>
            <w:tcMar>
              <w:top w:w="90" w:type="dxa"/>
              <w:start w:w="110" w:type="dxa"/>
              <w:bottom w:w="90" w:type="dxa"/>
              <w:end w:w="110" w:type="dxa"/>
            </w:tcMar>
            <w:shd w:fill="17365D"/>
          </w:tcPr>
          <w:p>
            <w:pPr>
              <w:spacing w:after="0"/>
            </w:pPr>
            <w:r>
              <w:rPr>
                <w:rFonts w:ascii="Aptos" w:hAnsi="Aptos"/>
                <w:b/>
                <w:color w:val="FFFFFF"/>
                <w:sz w:val="18"/>
              </w:rPr>
              <w:t>Entry</w:t>
            </w:r>
          </w:p>
        </w:tc>
      </w:tr>
      <w:tr>
        <w:tc>
          <w:tcPr>
            <w:tcW w:type="dxa" w:w="4853"/>
            <w:vAlign w:val="center"/>
            <w:tcMar>
              <w:top w:w="90" w:type="dxa"/>
              <w:start w:w="110" w:type="dxa"/>
              <w:bottom w:w="90" w:type="dxa"/>
              <w:end w:w="110" w:type="dxa"/>
            </w:tcMar>
          </w:tcPr>
          <w:p>
            <w:pPr>
              <w:spacing w:after="0"/>
            </w:pPr>
            <w:r>
              <w:rPr>
                <w:rFonts w:ascii="Aptos" w:hAnsi="Aptos"/>
                <w:sz w:val="18"/>
              </w:rPr>
              <w:t>Date, time, and duration</w:t>
            </w:r>
          </w:p>
        </w:tc>
        <w:tc>
          <w:tcPr>
            <w:tcW w:type="dxa" w:w="4853"/>
            <w:vAlign w:val="center"/>
            <w:tcMar>
              <w:top w:w="90" w:type="dxa"/>
              <w:start w:w="110" w:type="dxa"/>
              <w:bottom w:w="90" w:type="dxa"/>
              <w:end w:w="110" w:type="dxa"/>
            </w:tcMar>
          </w:tcPr>
          <w:p>
            <w:pPr>
              <w:spacing w:after="0"/>
            </w:pPr>
          </w:p>
        </w:tc>
      </w:tr>
      <w:tr>
        <w:tc>
          <w:tcPr>
            <w:tcW w:type="dxa" w:w="4853"/>
            <w:vAlign w:val="center"/>
            <w:tcMar>
              <w:top w:w="90" w:type="dxa"/>
              <w:start w:w="110" w:type="dxa"/>
              <w:bottom w:w="90" w:type="dxa"/>
              <w:end w:w="110" w:type="dxa"/>
            </w:tcMar>
            <w:shd w:fill="EEF5FA"/>
          </w:tcPr>
          <w:p>
            <w:pPr>
              <w:spacing w:after="0"/>
            </w:pPr>
            <w:r>
              <w:rPr>
                <w:rFonts w:ascii="Aptos" w:hAnsi="Aptos"/>
                <w:sz w:val="18"/>
              </w:rPr>
              <w:t>Condition: silence, ordinary audio, or target audio</w:t>
            </w:r>
          </w:p>
        </w:tc>
        <w:tc>
          <w:tcPr>
            <w:tcW w:type="dxa" w:w="4853"/>
            <w:vAlign w:val="center"/>
            <w:tcMar>
              <w:top w:w="90" w:type="dxa"/>
              <w:start w:w="110" w:type="dxa"/>
              <w:bottom w:w="90" w:type="dxa"/>
              <w:end w:w="110" w:type="dxa"/>
            </w:tcMar>
            <w:shd w:fill="EEF5FA"/>
          </w:tcPr>
          <w:p>
            <w:pPr>
              <w:spacing w:after="0"/>
            </w:pPr>
          </w:p>
        </w:tc>
      </w:tr>
      <w:tr>
        <w:tc>
          <w:tcPr>
            <w:tcW w:type="dxa" w:w="4853"/>
            <w:vAlign w:val="center"/>
            <w:tcMar>
              <w:top w:w="90" w:type="dxa"/>
              <w:start w:w="110" w:type="dxa"/>
              <w:bottom w:w="90" w:type="dxa"/>
              <w:end w:w="110" w:type="dxa"/>
            </w:tcMar>
          </w:tcPr>
          <w:p>
            <w:pPr>
              <w:spacing w:after="0"/>
            </w:pPr>
            <w:r>
              <w:rPr>
                <w:rFonts w:ascii="Aptos" w:hAnsi="Aptos"/>
                <w:sz w:val="18"/>
              </w:rPr>
              <w:t>Sleep quality and relevant context</w:t>
            </w:r>
          </w:p>
        </w:tc>
        <w:tc>
          <w:tcPr>
            <w:tcW w:type="dxa" w:w="4853"/>
            <w:vAlign w:val="center"/>
            <w:tcMar>
              <w:top w:w="90" w:type="dxa"/>
              <w:start w:w="110" w:type="dxa"/>
              <w:bottom w:w="90" w:type="dxa"/>
              <w:end w:w="110" w:type="dxa"/>
            </w:tcMar>
          </w:tcPr>
          <w:p>
            <w:pPr>
              <w:spacing w:after="0"/>
            </w:pPr>
          </w:p>
        </w:tc>
      </w:tr>
      <w:tr>
        <w:tc>
          <w:tcPr>
            <w:tcW w:type="dxa" w:w="4853"/>
            <w:vAlign w:val="center"/>
            <w:tcMar>
              <w:top w:w="90" w:type="dxa"/>
              <w:start w:w="110" w:type="dxa"/>
              <w:bottom w:w="90" w:type="dxa"/>
              <w:end w:w="110" w:type="dxa"/>
            </w:tcMar>
            <w:shd w:fill="EEF5FA"/>
          </w:tcPr>
          <w:p>
            <w:pPr>
              <w:spacing w:after="0"/>
            </w:pPr>
            <w:r>
              <w:rPr>
                <w:rFonts w:ascii="Aptos" w:hAnsi="Aptos"/>
                <w:sz w:val="18"/>
              </w:rPr>
              <w:t>Pre-session stress, mood, and focus, 0–10</w:t>
            </w:r>
          </w:p>
        </w:tc>
        <w:tc>
          <w:tcPr>
            <w:tcW w:type="dxa" w:w="4853"/>
            <w:vAlign w:val="center"/>
            <w:tcMar>
              <w:top w:w="90" w:type="dxa"/>
              <w:start w:w="110" w:type="dxa"/>
              <w:bottom w:w="90" w:type="dxa"/>
              <w:end w:w="110" w:type="dxa"/>
            </w:tcMar>
            <w:shd w:fill="EEF5FA"/>
          </w:tcPr>
          <w:p>
            <w:pPr>
              <w:spacing w:after="0"/>
            </w:pPr>
          </w:p>
        </w:tc>
      </w:tr>
      <w:tr>
        <w:tc>
          <w:tcPr>
            <w:tcW w:type="dxa" w:w="4853"/>
            <w:vAlign w:val="center"/>
            <w:tcMar>
              <w:top w:w="90" w:type="dxa"/>
              <w:start w:w="110" w:type="dxa"/>
              <w:bottom w:w="90" w:type="dxa"/>
              <w:end w:w="110" w:type="dxa"/>
            </w:tcMar>
          </w:tcPr>
          <w:p>
            <w:pPr>
              <w:spacing w:after="0"/>
            </w:pPr>
            <w:r>
              <w:rPr>
                <w:rFonts w:ascii="Aptos" w:hAnsi="Aptos"/>
                <w:sz w:val="18"/>
              </w:rPr>
              <w:t>Direct observations: body, sound, imagery, emotion, time sense</w:t>
            </w:r>
          </w:p>
        </w:tc>
        <w:tc>
          <w:tcPr>
            <w:tcW w:type="dxa" w:w="4853"/>
            <w:vAlign w:val="center"/>
            <w:tcMar>
              <w:top w:w="90" w:type="dxa"/>
              <w:start w:w="110" w:type="dxa"/>
              <w:bottom w:w="90" w:type="dxa"/>
              <w:end w:w="110" w:type="dxa"/>
            </w:tcMar>
          </w:tcPr>
          <w:p>
            <w:pPr>
              <w:spacing w:after="0"/>
            </w:pPr>
          </w:p>
        </w:tc>
      </w:tr>
      <w:tr>
        <w:tc>
          <w:tcPr>
            <w:tcW w:type="dxa" w:w="4853"/>
            <w:vAlign w:val="center"/>
            <w:tcMar>
              <w:top w:w="90" w:type="dxa"/>
              <w:start w:w="110" w:type="dxa"/>
              <w:bottom w:w="90" w:type="dxa"/>
              <w:end w:w="110" w:type="dxa"/>
            </w:tcMar>
            <w:shd w:fill="EEF5FA"/>
          </w:tcPr>
          <w:p>
            <w:pPr>
              <w:spacing w:after="0"/>
            </w:pPr>
            <w:r>
              <w:rPr>
                <w:rFonts w:ascii="Aptos" w:hAnsi="Aptos"/>
                <w:sz w:val="18"/>
              </w:rPr>
              <w:t>Interpretations, kept separate</w:t>
            </w:r>
          </w:p>
        </w:tc>
        <w:tc>
          <w:tcPr>
            <w:tcW w:type="dxa" w:w="4853"/>
            <w:vAlign w:val="center"/>
            <w:tcMar>
              <w:top w:w="90" w:type="dxa"/>
              <w:start w:w="110" w:type="dxa"/>
              <w:bottom w:w="90" w:type="dxa"/>
              <w:end w:w="110" w:type="dxa"/>
            </w:tcMar>
            <w:shd w:fill="EEF5FA"/>
          </w:tcPr>
          <w:p>
            <w:pPr>
              <w:spacing w:after="0"/>
            </w:pPr>
          </w:p>
        </w:tc>
      </w:tr>
      <w:tr>
        <w:tc>
          <w:tcPr>
            <w:tcW w:type="dxa" w:w="4853"/>
            <w:vAlign w:val="center"/>
            <w:tcMar>
              <w:top w:w="90" w:type="dxa"/>
              <w:start w:w="110" w:type="dxa"/>
              <w:bottom w:w="90" w:type="dxa"/>
              <w:end w:w="110" w:type="dxa"/>
            </w:tcMar>
          </w:tcPr>
          <w:p>
            <w:pPr>
              <w:spacing w:after="0"/>
            </w:pPr>
            <w:r>
              <w:rPr>
                <w:rFonts w:ascii="Aptos" w:hAnsi="Aptos"/>
                <w:sz w:val="18"/>
              </w:rPr>
              <w:t>Any prediction locked before feedback</w:t>
            </w:r>
          </w:p>
        </w:tc>
        <w:tc>
          <w:tcPr>
            <w:tcW w:type="dxa" w:w="4853"/>
            <w:vAlign w:val="center"/>
            <w:tcMar>
              <w:top w:w="90" w:type="dxa"/>
              <w:start w:w="110" w:type="dxa"/>
              <w:bottom w:w="90" w:type="dxa"/>
              <w:end w:w="110" w:type="dxa"/>
            </w:tcMar>
          </w:tcPr>
          <w:p>
            <w:pPr>
              <w:spacing w:after="0"/>
            </w:pPr>
          </w:p>
        </w:tc>
      </w:tr>
      <w:tr>
        <w:tc>
          <w:tcPr>
            <w:tcW w:type="dxa" w:w="4853"/>
            <w:vAlign w:val="center"/>
            <w:tcMar>
              <w:top w:w="90" w:type="dxa"/>
              <w:start w:w="110" w:type="dxa"/>
              <w:bottom w:w="90" w:type="dxa"/>
              <w:end w:w="110" w:type="dxa"/>
            </w:tcMar>
            <w:shd w:fill="EEF5FA"/>
          </w:tcPr>
          <w:p>
            <w:pPr>
              <w:spacing w:after="0"/>
            </w:pPr>
            <w:r>
              <w:rPr>
                <w:rFonts w:ascii="Aptos" w:hAnsi="Aptos"/>
                <w:sz w:val="18"/>
              </w:rPr>
              <w:t>Post-session ratings</w:t>
            </w:r>
          </w:p>
        </w:tc>
        <w:tc>
          <w:tcPr>
            <w:tcW w:type="dxa" w:w="4853"/>
            <w:vAlign w:val="center"/>
            <w:tcMar>
              <w:top w:w="90" w:type="dxa"/>
              <w:start w:w="110" w:type="dxa"/>
              <w:bottom w:w="90" w:type="dxa"/>
              <w:end w:w="110" w:type="dxa"/>
            </w:tcMar>
            <w:shd w:fill="EEF5FA"/>
          </w:tcPr>
          <w:p>
            <w:pPr>
              <w:spacing w:after="0"/>
            </w:pPr>
          </w:p>
        </w:tc>
      </w:tr>
      <w:tr>
        <w:tc>
          <w:tcPr>
            <w:tcW w:type="dxa" w:w="4853"/>
            <w:vAlign w:val="center"/>
            <w:tcMar>
              <w:top w:w="90" w:type="dxa"/>
              <w:start w:w="110" w:type="dxa"/>
              <w:bottom w:w="90" w:type="dxa"/>
              <w:end w:w="110" w:type="dxa"/>
            </w:tcMar>
          </w:tcPr>
          <w:p>
            <w:pPr>
              <w:spacing w:after="0"/>
            </w:pPr>
            <w:r>
              <w:rPr>
                <w:rFonts w:ascii="Aptos" w:hAnsi="Aptos"/>
                <w:sz w:val="18"/>
              </w:rPr>
              <w:t>Next-day functioning</w:t>
            </w:r>
          </w:p>
        </w:tc>
        <w:tc>
          <w:tcPr>
            <w:tcW w:type="dxa" w:w="4853"/>
            <w:vAlign w:val="center"/>
            <w:tcMar>
              <w:top w:w="90" w:type="dxa"/>
              <w:start w:w="110" w:type="dxa"/>
              <w:bottom w:w="90" w:type="dxa"/>
              <w:end w:w="110" w:type="dxa"/>
            </w:tcMar>
          </w:tcPr>
          <w:p>
            <w:pPr>
              <w:spacing w:after="0"/>
            </w:pPr>
          </w:p>
        </w:tc>
      </w:tr>
      <w:tr>
        <w:tc>
          <w:tcPr>
            <w:tcW w:type="dxa" w:w="4853"/>
            <w:vAlign w:val="center"/>
            <w:tcMar>
              <w:top w:w="90" w:type="dxa"/>
              <w:start w:w="110" w:type="dxa"/>
              <w:bottom w:w="90" w:type="dxa"/>
              <w:end w:w="110" w:type="dxa"/>
            </w:tcMar>
            <w:shd w:fill="EEF5FA"/>
          </w:tcPr>
          <w:p>
            <w:pPr>
              <w:spacing w:after="0"/>
            </w:pPr>
            <w:r>
              <w:rPr>
                <w:rFonts w:ascii="Aptos" w:hAnsi="Aptos"/>
                <w:sz w:val="18"/>
              </w:rPr>
              <w:t>One action or experiment</w:t>
            </w:r>
          </w:p>
        </w:tc>
        <w:tc>
          <w:tcPr>
            <w:tcW w:type="dxa" w:w="4853"/>
            <w:vAlign w:val="center"/>
            <w:tcMar>
              <w:top w:w="90" w:type="dxa"/>
              <w:start w:w="110" w:type="dxa"/>
              <w:bottom w:w="90" w:type="dxa"/>
              <w:end w:w="110" w:type="dxa"/>
            </w:tcMar>
            <w:shd w:fill="EEF5FA"/>
          </w:tcPr>
          <w:p>
            <w:pPr>
              <w:spacing w:after="0"/>
            </w:pPr>
          </w:p>
        </w:tc>
      </w:tr>
    </w:tbl>
    <w:p>
      <w:pPr>
        <w:spacing w:after="20"/>
      </w:pPr>
    </w:p>
    <w:p>
      <w:pPr>
        <w:pStyle w:val="Heading2"/>
      </w:pPr>
      <w:r>
        <w:t>Safety and integration</w:t>
      </w:r>
    </w:p>
    <w:p>
      <w:r>
        <w:t>Meditation and relaxation usually carry few risks, but adverse experiences are documented. A 2020 review of 83 studies with 6,703 participants estimated an 8.3% adverse-event prevalence, with wide variation by study design and monitoring.</w:t>
      </w:r>
      <w:r>
        <w:t/>
      </w:r>
      <w:r>
        <w:footnoteReference w:id="22"/>
      </w:r>
      <w:r>
        <w:t xml:space="preserve"> Anxiety and depression were among the reported categories. The figure is not a personalized Gateway risk and includes practices of different intensity. NCCIH notes occasional anxiety, intrusive thoughts, or fear of losing control during relaxation practices and recommends retaining conventional care. </w:t>
      </w:r>
      <w:r>
        <w:rPr>
          <w:color w:val="415A78"/>
          <w:sz w:val="15"/>
          <w:vertAlign w:val="superscript"/>
        </w:rPr>
        <w:t>[N12, N15, N16]</w:t>
      </w:r>
    </w:p>
    <w:p>
      <w:r>
        <w:t>Pause intensive practice if it produces persistent distress, worsening sleep, impaired daily function, or a troubling sense of detachment. Reorient to ordinary routines and seek qualified support when symptoms persist. People with relevant psychiatric, trauma, neurological, or seizure histories should obtain individualized professional guidance before intensive altered-state work. Never use a session while driving, operating machinery, or when reduced alertness would be unsafe.</w:t>
      </w:r>
    </w:p>
    <w:p>
      <w:pPr>
        <w:pStyle w:val="Heading1"/>
      </w:pPr>
      <w:r>
        <w:t>Learning path for deeper understanding</w:t>
      </w:r>
    </w:p>
    <w:p>
      <w:pPr>
        <w:pStyle w:val="Heading2"/>
      </w:pPr>
      <w:r>
        <w:t>1. Evidence and experimental design</w:t>
      </w:r>
    </w:p>
    <w:p>
      <w:r>
        <w:t>Learn randomization, blinding, active controls, expectancy effects, preregistration, effect sizes, confidence intervals, multiple comparisons, publication bias, replication, and the distinction between statistical and practical significance. Then reread the binaural-beat and remote-viewing debates. The question becomes “What design separates these explanations?” rather than “Which side sounds more confident?”</w:t>
      </w:r>
    </w:p>
    <w:p>
      <w:pPr>
        <w:pStyle w:val="Heading2"/>
      </w:pPr>
      <w:r>
        <w:t>2. Brain, perception, and consciousness</w:t>
      </w:r>
    </w:p>
    <w:p>
      <w:r>
        <w:t xml:space="preserve">Study basic neuroanatomy, sensory integration, attention, sleep stages, memory reconstruction, interoception, body ownership, and predictive processing. MIT OpenCourseWare’s introductory psychology materials include brain, research methods, consciousness, attention, memory, and thinking. Follow with the OBE, virtual-body, and lucid-dream studies in Sources. </w:t>
      </w:r>
      <w:r>
        <w:rPr>
          <w:color w:val="415A78"/>
          <w:sz w:val="15"/>
          <w:vertAlign w:val="superscript"/>
        </w:rPr>
        <w:t>[N10, N11, N13, N14]</w:t>
      </w:r>
    </w:p>
    <w:p>
      <w:pPr>
        <w:pStyle w:val="Heading2"/>
      </w:pPr>
      <w:r>
        <w:t>3. Contemplative and clinical practices</w:t>
      </w:r>
    </w:p>
    <w:p>
      <w:r>
        <w:t xml:space="preserve">Compare focused attention, open monitoring, mantra practice, self-hypnosis, guided imagery, and HRV biofeedback by instructions and outcomes. Use NCCIH’s evidence summaries to understand both potential benefits and limitations. If the goal is clinical treatment, work with an appropriately trained clinician rather than substituting recordings for established care. </w:t>
      </w:r>
      <w:r>
        <w:rPr>
          <w:color w:val="415A78"/>
          <w:sz w:val="15"/>
          <w:vertAlign w:val="superscript"/>
        </w:rPr>
        <w:t>[N07–N09, N15, N16]</w:t>
      </w:r>
    </w:p>
    <w:p>
      <w:pPr>
        <w:pStyle w:val="Heading2"/>
      </w:pPr>
      <w:r>
        <w:t>4. Waves, resonance, and physics</w:t>
      </w:r>
    </w:p>
    <w:p>
      <w:r>
        <w:t>Before quantum consciousness, master units, frequency, wavelength, amplitude, energy, coupling, resonance, signal-to-noise ratio, and Fourier transforms. Then study the Planck units, Bell tests, entanglement, quantum teleportation, and decoherence from primary or university-level sources. This sequence makes category errors visible without requiring hostility to philosophical questions. [P08, P12–P17]</w:t>
      </w:r>
    </w:p>
    <w:p>
      <w:pPr>
        <w:pStyle w:val="Heading2"/>
      </w:pPr>
      <w:r>
        <w:t>5. History and parapsychology</w:t>
      </w:r>
    </w:p>
    <w:p>
      <w:r>
        <w:t>Read the 1983 report as a primary historical source. Then place Utts and Hyman side by side, followed by the AIR operational conclusions, recent favorable meta-analysis, and preregistration evidence. Track precisely whether each source addresses existence of an average effect, mechanism, trainability, individual accuracy, or operational value. [P05–P07, P18–P22]</w:t>
      </w:r>
    </w:p>
    <w:p>
      <w:pPr>
        <w:pStyle w:val="Heading2"/>
      </w:pPr>
      <w:r>
        <w:t>6. Philosophy of mind and religious interpretation</w:t>
      </w:r>
    </w:p>
    <w:p>
      <w:r>
        <w:t>Study physicalism, dualism, idealism, panpsychism, neutral monism, and the epistemology of mystical experience as philosophical positions. Compare traditions in their own contexts before treating similar images as identical doctrines. Philosophy clarifies what is conceivable and coherent; empirical work determines what a particular experiment supports.</w:t>
      </w:r>
    </w:p>
    <w:p>
      <w:pPr>
        <w:pStyle w:val="Heading1"/>
      </w:pPr>
      <w:r>
        <w:t>A research agenda the document itself invites</w:t>
      </w:r>
    </w:p>
    <w:p>
      <w:r>
        <w:t>The paper becomes more valuable when converted from explanation into questions:</w:t>
      </w:r>
    </w:p>
    <w:p>
      <w:pPr>
        <w:ind w:left="403" w:hanging="317"/>
      </w:pPr>
      <w:r>
        <w:t xml:space="preserve">1. </w:t>
      </w:r>
      <w:r>
        <w:t>Does Hemi-Sync outperform matched music, matched verbal suggestion, and silence on a preregistered outcome?</w:t>
      </w:r>
    </w:p>
    <w:p>
      <w:pPr>
        <w:ind w:left="403" w:hanging="317"/>
      </w:pPr>
      <w:r>
        <w:t xml:space="preserve">2. </w:t>
      </w:r>
      <w:r>
        <w:t>Does any benefit depend on expectancy, hypnotic suggestibility, prior meditation, sleep, or individual auditory response?</w:t>
      </w:r>
    </w:p>
    <w:p>
      <w:pPr>
        <w:ind w:left="403" w:hanging="317"/>
      </w:pPr>
      <w:r>
        <w:t xml:space="preserve">3. </w:t>
      </w:r>
      <w:r>
        <w:t>Does a claimed Focus level correspond reliably to a physiological pattern across people and sessions?</w:t>
      </w:r>
    </w:p>
    <w:p>
      <w:pPr>
        <w:ind w:left="403" w:hanging="317"/>
      </w:pPr>
      <w:r>
        <w:t xml:space="preserve">4. </w:t>
      </w:r>
      <w:r>
        <w:t>Do subjective depth and daily benefit correlate, or can dramatic sessions distract from durable improvement?</w:t>
      </w:r>
    </w:p>
    <w:p>
      <w:pPr>
        <w:ind w:left="403" w:hanging="317"/>
      </w:pPr>
      <w:r>
        <w:t xml:space="preserve">5. </w:t>
      </w:r>
      <w:r>
        <w:t>Can out-of-body reports discriminate concealed targets under blinding, with independent judging and full reporting?</w:t>
      </w:r>
    </w:p>
    <w:p>
      <w:pPr>
        <w:ind w:left="403" w:hanging="317"/>
      </w:pPr>
      <w:r>
        <w:t xml:space="preserve">6. </w:t>
      </w:r>
      <w:r>
        <w:t>Can a reported remote-viewing effect replicate with new viewers, targets, experimenters, judges, and laboratories?</w:t>
      </w:r>
    </w:p>
    <w:p>
      <w:pPr>
        <w:ind w:left="403" w:hanging="317"/>
      </w:pPr>
      <w:r>
        <w:t xml:space="preserve">7. </w:t>
      </w:r>
      <w:r>
        <w:t>What proposed physical coupling connects physiology to an external field, and is its signal strong enough to carry decodable information?</w:t>
      </w:r>
    </w:p>
    <w:p>
      <w:pPr>
        <w:ind w:left="403" w:hanging="317"/>
      </w:pPr>
      <w:r>
        <w:t xml:space="preserve">8. </w:t>
      </w:r>
      <w:r>
        <w:t>Which parts of the practice remain beneficial when metaphysical language is replaced with neutral instructions?</w:t>
      </w:r>
    </w:p>
    <w:p>
      <w:r>
        <w:t>Each question can fail in an informative way. A null extraordinary result might coexist with better relaxation. A physiological signature might classify a state without explaining its content. A subjective benefit might depend mainly on ritual and expectation. Good research allows these outcomes to separate.</w:t>
      </w:r>
    </w:p>
    <w:p>
      <w:pPr>
        <w:pStyle w:val="Heading1"/>
      </w:pPr>
      <w:r>
        <w:t>Overall assessment</w:t>
      </w:r>
    </w:p>
    <w:p>
      <w:r>
        <w:t>The Gateway report is historically significant because it shows a serious institutional participant trying to synthesize altered-state training with the science and popular consciousness literature available to him. Its conceptual ambition is much greater than its evidence. The report describes a practice, proposes a worldview, and recommends experiments, but often writes as though the worldview has already supplied the mechanism.</w:t>
      </w:r>
    </w:p>
    <w:p>
      <w:r>
        <w:t>Its strongest legacy is a set of disciplined questions about attention, imagery, self-location, sleep, intuition, and self-knowledge. Its weakest legacy is the temptation to treat scientific terms as validation through association. The best modern use is therefore neither devotional nor dismissive: practice modestly, measure what matters, respect experience, test external claims, learn the relevant science, and allow philosophical meaning to remain philosophical where evidence ends.</w:t>
      </w:r>
    </w:p>
    <w:p>
      <w:pPr>
        <w:pStyle w:val="Heading1"/>
      </w:pPr>
      <w:r>
        <w:t>Sources</w:t>
      </w:r>
    </w:p>
    <w:p>
      <w:r>
        <w:t>Source identifiers below correspond to citations in the text. Access notes in the accompanying source inventory distinguish full-text review from abstract-level review.</w:t>
      </w:r>
    </w:p>
    <w:p>
      <w:pPr>
        <w:pStyle w:val="Heading2"/>
      </w:pPr>
      <w:r>
        <w:t>Government report, provenance, and program history</w:t>
      </w:r>
    </w:p>
    <w:p>
      <w:pPr>
        <w:pStyle w:val="ListBullet"/>
      </w:pPr>
      <w:r>
        <w:t xml:space="preserve">P01. Wayne M. McDonnell, “Analysis and Assessment of Gateway Process,” Department of the Army, 9 June 1983. CIA Reading Room identifier CIA-RDP96-00788R001700210016-5. </w:t>
      </w:r>
      <w:hyperlink r:id="rId11">
        <w:r>
          <w:rPr>
            <w:color w:val="2F5597"/>
            <w:u w:val="single"/>
          </w:rPr>
          <w:t>https://www.cia.gov/readingroom/docs/cia-rdp96-00788r001700210016-5.pdf</w:t>
        </w:r>
      </w:hyperlink>
    </w:p>
    <w:p>
      <w:pPr>
        <w:pStyle w:val="ListBullet"/>
      </w:pPr>
      <w:r>
        <w:t xml:space="preserve">P02. U.S. Government Publishing Office, “Analysis and Assessment of Gateway Process,” GovInfo package GOVPUB-D101-PURL-gpo152943. </w:t>
      </w:r>
      <w:hyperlink r:id="rId12">
        <w:r>
          <w:rPr>
            <w:color w:val="2F5597"/>
            <w:u w:val="single"/>
          </w:rPr>
          <w:t>https://www.govinfo.gov/app/details/GOVPUB-D101-PURL-gpo152943</w:t>
        </w:r>
      </w:hyperlink>
    </w:p>
    <w:p>
      <w:pPr>
        <w:pStyle w:val="ListBullet"/>
      </w:pPr>
      <w:r>
        <w:t xml:space="preserve">P03. Thobey Campion, “Found: Page 25 of the CIA’s Gateway Report on Astral Projection,” 8 April 2021. </w:t>
      </w:r>
      <w:hyperlink r:id="rId13">
        <w:r>
          <w:rPr>
            <w:color w:val="2F5597"/>
            <w:u w:val="single"/>
          </w:rPr>
          <w:t>https://www.vice.com/en/article/found-page-25-of-the-cias-gateway-report-on-astral-projection/</w:t>
        </w:r>
      </w:hyperlink>
    </w:p>
    <w:p>
      <w:pPr>
        <w:pStyle w:val="ListBullet"/>
      </w:pPr>
      <w:r>
        <w:t xml:space="preserve">P04. “Full Gateway report,” supplementary facsimile hosted by DocumentCloud. </w:t>
      </w:r>
      <w:hyperlink r:id="rId14">
        <w:r>
          <w:rPr>
            <w:color w:val="2F5597"/>
            <w:u w:val="single"/>
          </w:rPr>
          <w:t>https://s3.documentcloud.org/documents/20601195/6-full-report.pdf</w:t>
        </w:r>
      </w:hyperlink>
    </w:p>
    <w:p>
      <w:pPr>
        <w:pStyle w:val="ListBullet"/>
      </w:pPr>
      <w:r>
        <w:t xml:space="preserve">P18. Central Intelligence Agency, “Ask Molly: Did CIA Really Study Psychic Powers?” 27 October 2021. </w:t>
      </w:r>
      <w:hyperlink r:id="rId15">
        <w:r>
          <w:rPr>
            <w:color w:val="2F5597"/>
            <w:u w:val="single"/>
          </w:rPr>
          <w:t>https://www.cia.gov/stories/story/ask-molly-did-cia-really-study-psychic-powers/</w:t>
        </w:r>
      </w:hyperlink>
    </w:p>
    <w:p>
      <w:pPr>
        <w:pStyle w:val="ListBullet"/>
      </w:pPr>
      <w:r>
        <w:t xml:space="preserve">P19. Michael D. Mumford, Andrew M. Rose, and David A. Goslin, AIR operational conclusion excerpt reproduced in </w:t>
      </w:r>
      <w:r>
        <w:rPr>
          <w:i/>
        </w:rPr>
        <w:t>Skeptical Inquirer</w:t>
      </w:r>
      <w:r>
        <w:t xml:space="preserve">, 1996. </w:t>
      </w:r>
      <w:hyperlink r:id="rId16">
        <w:r>
          <w:rPr>
            <w:color w:val="2F5597"/>
            <w:u w:val="single"/>
          </w:rPr>
          <w:t>https://centerforinquiry.s3.amazonaws.com/wp-content/uploads/sites/29/1996/03/22165045/p24.pdf</w:t>
        </w:r>
      </w:hyperlink>
    </w:p>
    <w:p>
      <w:pPr>
        <w:pStyle w:val="Heading2"/>
      </w:pPr>
      <w:r>
        <w:t>Audio, neuroscience, psychology, and safety</w:t>
      </w:r>
    </w:p>
    <w:p>
      <w:pPr>
        <w:pStyle w:val="ListBullet"/>
      </w:pPr>
      <w:r>
        <w:t xml:space="preserve">N01. Ruth Maria Ingendoh, Ella S. Posny, and Angela Heine, “Binaural beats to entrain the brain?,” </w:t>
      </w:r>
      <w:r>
        <w:rPr>
          <w:i/>
        </w:rPr>
        <w:t>PLOS ONE</w:t>
      </w:r>
      <w:r>
        <w:t xml:space="preserve"> 18, 2023. </w:t>
      </w:r>
      <w:hyperlink r:id="rId17">
        <w:r>
          <w:rPr>
            <w:color w:val="2F5597"/>
            <w:u w:val="single"/>
          </w:rPr>
          <w:t>https://doi.org/10.1371/journal.pone.0286023</w:t>
        </w:r>
      </w:hyperlink>
    </w:p>
    <w:p>
      <w:pPr>
        <w:pStyle w:val="ListBullet"/>
      </w:pPr>
      <w:r>
        <w:t xml:space="preserve">N02. Miguel Garcia-Argibay, Miguel A. Santed, and José M. Reales, “Efficacy of binaural auditory beats in cognition, anxiety, and pain perception,” </w:t>
      </w:r>
      <w:r>
        <w:rPr>
          <w:i/>
        </w:rPr>
        <w:t>Psychological Research</w:t>
      </w:r>
      <w:r>
        <w:t xml:space="preserve"> 83, 2019. </w:t>
      </w:r>
      <w:hyperlink r:id="rId18">
        <w:r>
          <w:rPr>
            <w:color w:val="2F5597"/>
            <w:u w:val="single"/>
          </w:rPr>
          <w:t>https://pubmed.ncbi.nlm.nih.gov/30073406/</w:t>
        </w:r>
      </w:hyperlink>
    </w:p>
    <w:p>
      <w:pPr>
        <w:pStyle w:val="ListBullet"/>
      </w:pPr>
      <w:r>
        <w:t xml:space="preserve">N03. Iram Fatima et al., “Efficacy of theta binaural beat therapy on pain, cognition and anxiety in adults,” </w:t>
      </w:r>
      <w:r>
        <w:rPr>
          <w:i/>
        </w:rPr>
        <w:t>Explore</w:t>
      </w:r>
      <w:r>
        <w:t xml:space="preserve"> 22, online 18 June 2026. </w:t>
      </w:r>
      <w:hyperlink r:id="rId19">
        <w:r>
          <w:rPr>
            <w:color w:val="2F5597"/>
            <w:u w:val="single"/>
          </w:rPr>
          <w:t>https://pubmed.ncbi.nlm.nih.gov/42349368/</w:t>
        </w:r>
      </w:hyperlink>
    </w:p>
    <w:p>
      <w:pPr>
        <w:pStyle w:val="ListBullet"/>
      </w:pPr>
      <w:r>
        <w:t xml:space="preserve">N04. Hector D. Orozco Perez, Guillaume Dumas, and Alexandre Lehmann, “Binaural Beats through the Auditory Pathway,” </w:t>
      </w:r>
      <w:r>
        <w:rPr>
          <w:i/>
        </w:rPr>
        <w:t>eNeuro</w:t>
      </w:r>
      <w:r>
        <w:t xml:space="preserve"> 7, 2020. </w:t>
      </w:r>
      <w:hyperlink r:id="rId20">
        <w:r>
          <w:rPr>
            <w:color w:val="2F5597"/>
            <w:u w:val="single"/>
          </w:rPr>
          <w:t>https://doi.org/10.1523/ENEURO.0232-19.2020</w:t>
        </w:r>
      </w:hyperlink>
    </w:p>
    <w:p>
      <w:pPr>
        <w:pStyle w:val="ListBullet"/>
      </w:pPr>
      <w:r>
        <w:t xml:space="preserve">N05. Susan Dabu-Bondoc et al., “Hemispheric synchronized sounds and perioperative analgesic requirements,” </w:t>
      </w:r>
      <w:r>
        <w:rPr>
          <w:i/>
        </w:rPr>
        <w:t>Anesthesia &amp; Analgesia</w:t>
      </w:r>
      <w:r>
        <w:t xml:space="preserve"> 110, 2010. </w:t>
      </w:r>
      <w:hyperlink r:id="rId21">
        <w:r>
          <w:rPr>
            <w:color w:val="2F5597"/>
            <w:u w:val="single"/>
          </w:rPr>
          <w:t>https://pubmed.ncbi.nlm.nih.gov/19861358/</w:t>
        </w:r>
      </w:hyperlink>
    </w:p>
    <w:p>
      <w:pPr>
        <w:pStyle w:val="ListBullet"/>
      </w:pPr>
      <w:r>
        <w:t xml:space="preserve">N06. Susan Dabu-Bondoc et al., “Hemispheric synchronized sounds and intraoperative anesthetic requirements,” </w:t>
      </w:r>
      <w:r>
        <w:rPr>
          <w:i/>
        </w:rPr>
        <w:t>Anesthesia &amp; Analgesia</w:t>
      </w:r>
      <w:r>
        <w:t xml:space="preserve"> 97, 2003. </w:t>
      </w:r>
      <w:hyperlink r:id="rId22">
        <w:r>
          <w:rPr>
            <w:color w:val="2F5597"/>
            <w:u w:val="single"/>
          </w:rPr>
          <w:t>https://pubmed.ncbi.nlm.nih.gov/12933400/</w:t>
        </w:r>
      </w:hyperlink>
    </w:p>
    <w:p>
      <w:pPr>
        <w:pStyle w:val="ListBullet"/>
      </w:pPr>
      <w:r>
        <w:t xml:space="preserve">N07. V. C. Goessl, J. E. Curtiss, and S. G. Hofmann, “The effect of heart rate variability biofeedback training on stress and anxiety,” </w:t>
      </w:r>
      <w:r>
        <w:rPr>
          <w:i/>
        </w:rPr>
        <w:t>Psychological Medicine</w:t>
      </w:r>
      <w:r>
        <w:t xml:space="preserve"> 47, 2017. </w:t>
      </w:r>
      <w:hyperlink r:id="rId23">
        <w:r>
          <w:rPr>
            <w:color w:val="2F5597"/>
            <w:u w:val="single"/>
          </w:rPr>
          <w:t>https://pubmed.ncbi.nlm.nih.gov/28478782/</w:t>
        </w:r>
      </w:hyperlink>
    </w:p>
    <w:p>
      <w:pPr>
        <w:pStyle w:val="ListBullet"/>
      </w:pPr>
      <w:r>
        <w:t xml:space="preserve">N08. Hannah G. Jones et al., “Adjunctive use of hypnosis for clinical pain,” </w:t>
      </w:r>
      <w:r>
        <w:rPr>
          <w:i/>
        </w:rPr>
        <w:t>Pain Reports</w:t>
      </w:r>
      <w:r>
        <w:t xml:space="preserve"> 9, 2024. </w:t>
      </w:r>
      <w:hyperlink r:id="rId24">
        <w:r>
          <w:rPr>
            <w:color w:val="2F5597"/>
            <w:u w:val="single"/>
          </w:rPr>
          <w:t>https://pmc.ncbi.nlm.nih.gov/articles/PMC11390056/</w:t>
        </w:r>
      </w:hyperlink>
    </w:p>
    <w:p>
      <w:pPr>
        <w:pStyle w:val="ListBullet"/>
      </w:pPr>
      <w:r>
        <w:t xml:space="preserve">N09. Madhav Goyal et al., “Meditation Programs for Psychological Stress and Well-being,” </w:t>
      </w:r>
      <w:r>
        <w:rPr>
          <w:i/>
        </w:rPr>
        <w:t>JAMA Internal Medicine</w:t>
      </w:r>
      <w:r>
        <w:t xml:space="preserve"> 174, 2014. </w:t>
      </w:r>
      <w:hyperlink r:id="rId25">
        <w:r>
          <w:rPr>
            <w:color w:val="2F5597"/>
            <w:u w:val="single"/>
          </w:rPr>
          <w:t>https://pmc.ncbi.nlm.nih.gov/articles/PMC4142584/</w:t>
        </w:r>
      </w:hyperlink>
    </w:p>
    <w:p>
      <w:pPr>
        <w:pStyle w:val="ListBullet"/>
      </w:pPr>
      <w:r>
        <w:t xml:space="preserve">N10. Olaf Blanke et al., “Stimulating illusory own-body perceptions,” </w:t>
      </w:r>
      <w:r>
        <w:rPr>
          <w:i/>
        </w:rPr>
        <w:t>Nature</w:t>
      </w:r>
      <w:r>
        <w:t xml:space="preserve"> 419, 2002. </w:t>
      </w:r>
      <w:hyperlink r:id="rId26">
        <w:r>
          <w:rPr>
            <w:color w:val="2F5597"/>
            <w:u w:val="single"/>
          </w:rPr>
          <w:t>https://pubmed.ncbi.nlm.nih.gov/12239558/</w:t>
        </w:r>
      </w:hyperlink>
    </w:p>
    <w:p>
      <w:pPr>
        <w:pStyle w:val="ListBullet"/>
      </w:pPr>
      <w:r>
        <w:t xml:space="preserve">N11. Karen R. Konkoly et al., “Real-time dialogue between experimenters and dreamers during REM sleep,” </w:t>
      </w:r>
      <w:r>
        <w:rPr>
          <w:i/>
        </w:rPr>
        <w:t>Current Biology</w:t>
      </w:r>
      <w:r>
        <w:t xml:space="preserve"> 31, 2021. </w:t>
      </w:r>
      <w:hyperlink r:id="rId27">
        <w:r>
          <w:rPr>
            <w:color w:val="2F5597"/>
            <w:u w:val="single"/>
          </w:rPr>
          <w:t>https://doi.org/10.1016/j.cub.2021.01.026</w:t>
        </w:r>
      </w:hyperlink>
    </w:p>
    <w:p>
      <w:pPr>
        <w:pStyle w:val="ListBullet"/>
      </w:pPr>
      <w:r>
        <w:t xml:space="preserve">N12. Miguel Farias et al., “Adverse events in meditation practices and meditation-based therapies,” </w:t>
      </w:r>
      <w:r>
        <w:rPr>
          <w:i/>
        </w:rPr>
        <w:t>Acta Psychiatrica Scandinavica</w:t>
      </w:r>
      <w:r>
        <w:t xml:space="preserve">, 2020. </w:t>
      </w:r>
      <w:hyperlink r:id="rId28">
        <w:r>
          <w:rPr>
            <w:color w:val="2F5597"/>
            <w:u w:val="single"/>
          </w:rPr>
          <w:t>https://doi.org/10.1111/acps.13225</w:t>
        </w:r>
      </w:hyperlink>
    </w:p>
    <w:p>
      <w:pPr>
        <w:pStyle w:val="ListBullet"/>
      </w:pPr>
      <w:r>
        <w:t xml:space="preserve">N13. Jared A. Nielsen et al., “An evaluation of the left-brain vs. right-brain hypothesis,” </w:t>
      </w:r>
      <w:r>
        <w:rPr>
          <w:i/>
        </w:rPr>
        <w:t>PLOS ONE</w:t>
      </w:r>
      <w:r>
        <w:t xml:space="preserve"> 8, 2013. </w:t>
      </w:r>
      <w:hyperlink r:id="rId29">
        <w:r>
          <w:rPr>
            <w:color w:val="2F5597"/>
            <w:u w:val="single"/>
          </w:rPr>
          <w:t>https://pubmed.ncbi.nlm.nih.gov/23967180/</w:t>
        </w:r>
      </w:hyperlink>
    </w:p>
    <w:p>
      <w:pPr>
        <w:pStyle w:val="ListBullet"/>
      </w:pPr>
      <w:r>
        <w:t xml:space="preserve">N14. Bigna Lenggenhager et al., “Video ergo sum: manipulating bodily self-consciousness,” </w:t>
      </w:r>
      <w:r>
        <w:rPr>
          <w:i/>
        </w:rPr>
        <w:t>Science</w:t>
      </w:r>
      <w:r>
        <w:t xml:space="preserve"> 317, 2007. </w:t>
      </w:r>
      <w:hyperlink r:id="rId30">
        <w:r>
          <w:rPr>
            <w:color w:val="2F5597"/>
            <w:u w:val="single"/>
          </w:rPr>
          <w:t>https://pubmed.ncbi.nlm.nih.gov/17717189/</w:t>
        </w:r>
      </w:hyperlink>
    </w:p>
    <w:p>
      <w:pPr>
        <w:pStyle w:val="ListBullet"/>
      </w:pPr>
      <w:r>
        <w:t xml:space="preserve">N15. National Center for Complementary and Integrative Health, “Meditation and Mindfulness: Effectiveness and Safety.” </w:t>
      </w:r>
      <w:hyperlink r:id="rId31">
        <w:r>
          <w:rPr>
            <w:color w:val="2F5597"/>
            <w:u w:val="single"/>
          </w:rPr>
          <w:t>https://www.nccih.nih.gov/health/meditation-and-mindfulness-effectiveness-and-safety</w:t>
        </w:r>
      </w:hyperlink>
    </w:p>
    <w:p>
      <w:pPr>
        <w:pStyle w:val="ListBullet"/>
      </w:pPr>
      <w:r>
        <w:t xml:space="preserve">N16. National Center for Complementary and Integrative Health, “Relaxation Techniques: What You Need To Know.” </w:t>
      </w:r>
      <w:hyperlink r:id="rId32">
        <w:r>
          <w:rPr>
            <w:color w:val="2F5597"/>
            <w:u w:val="single"/>
          </w:rPr>
          <w:t>https://www.nccih.nih.gov/health/relaxation-techniques-what-you-need-to-know</w:t>
        </w:r>
      </w:hyperlink>
    </w:p>
    <w:p>
      <w:pPr>
        <w:pStyle w:val="Heading2"/>
      </w:pPr>
      <w:r>
        <w:t>Physics and consciousness models</w:t>
      </w:r>
    </w:p>
    <w:p>
      <w:pPr>
        <w:pStyle w:val="ListBullet"/>
      </w:pPr>
      <w:r>
        <w:t xml:space="preserve">P08. Fernando Simões, Robert Pfaff, and Henry Freudenreich, “Satellite observations of Schumann resonances in the Earth’s ionosphere,” </w:t>
      </w:r>
      <w:r>
        <w:rPr>
          <w:i/>
        </w:rPr>
        <w:t>Geophysical Research Letters</w:t>
      </w:r>
      <w:r>
        <w:t xml:space="preserve"> 38, 2011. </w:t>
      </w:r>
      <w:hyperlink r:id="rId33">
        <w:r>
          <w:rPr>
            <w:color w:val="2F5597"/>
            <w:u w:val="single"/>
          </w:rPr>
          <w:t>https://doi.org/10.1029/2011GL049668</w:t>
        </w:r>
      </w:hyperlink>
    </w:p>
    <w:p>
      <w:pPr>
        <w:pStyle w:val="ListBullet"/>
      </w:pPr>
      <w:r>
        <w:t xml:space="preserve">P09. Karl Pribram, “The Holographic Brain,” interview transcript. </w:t>
      </w:r>
      <w:hyperlink r:id="rId34">
        <w:r>
          <w:rPr>
            <w:color w:val="2F5597"/>
            <w:u w:val="single"/>
          </w:rPr>
          <w:t>https://www.intuitionnetwork.org/txt/pribram.htm</w:t>
        </w:r>
      </w:hyperlink>
    </w:p>
    <w:p>
      <w:pPr>
        <w:pStyle w:val="ListBullet"/>
      </w:pPr>
      <w:r>
        <w:t xml:space="preserve">P10. David Bohm, “A Suggested Interpretation of the Quantum Theory in Terms of Hidden Variables II,” </w:t>
      </w:r>
      <w:r>
        <w:rPr>
          <w:i/>
        </w:rPr>
        <w:t>Physical Review</w:t>
      </w:r>
      <w:r>
        <w:t xml:space="preserve"> 85, 1952. </w:t>
      </w:r>
      <w:hyperlink r:id="rId35">
        <w:r>
          <w:rPr>
            <w:color w:val="2F5597"/>
            <w:u w:val="single"/>
          </w:rPr>
          <w:t>https://doi.org/10.1103/PhysRev.85.180</w:t>
        </w:r>
      </w:hyperlink>
    </w:p>
    <w:p>
      <w:pPr>
        <w:pStyle w:val="ListBullet"/>
      </w:pPr>
      <w:r>
        <w:t xml:space="preserve">P11. Juan M. Maldacena, “The Large N Limit of Superconformal Field Theories and Supergravity,” 1997/1998. </w:t>
      </w:r>
      <w:hyperlink r:id="rId36">
        <w:r>
          <w:rPr>
            <w:color w:val="2F5597"/>
            <w:u w:val="single"/>
          </w:rPr>
          <w:t>https://arxiv.org/abs/hep-th/9711200</w:t>
        </w:r>
      </w:hyperlink>
    </w:p>
    <w:p>
      <w:pPr>
        <w:pStyle w:val="ListBullet"/>
      </w:pPr>
      <w:r>
        <w:t xml:space="preserve">P12. NIST/CODATA, “2022 CODATA Adjustment: Fundamental Physical Constants.” </w:t>
      </w:r>
      <w:hyperlink r:id="rId37">
        <w:r>
          <w:rPr>
            <w:color w:val="2F5597"/>
            <w:u w:val="single"/>
          </w:rPr>
          <w:t>https://physics.nist.gov/cuu/pdf/all.pdf</w:t>
        </w:r>
      </w:hyperlink>
    </w:p>
    <w:p>
      <w:pPr>
        <w:pStyle w:val="ListBullet"/>
      </w:pPr>
      <w:r>
        <w:t xml:space="preserve">P13. Royal Swedish Academy of Sciences, “The Nobel Prize in Physics 2022: Press release.” </w:t>
      </w:r>
      <w:hyperlink r:id="rId38">
        <w:r>
          <w:rPr>
            <w:color w:val="2F5597"/>
            <w:u w:val="single"/>
          </w:rPr>
          <w:t>https://www.nobelprize.org/prizes/physics/2022/press-release/</w:t>
        </w:r>
      </w:hyperlink>
    </w:p>
    <w:p>
      <w:pPr>
        <w:pStyle w:val="ListBullet"/>
      </w:pPr>
      <w:r>
        <w:t xml:space="preserve">P14. IBM Quantum Learning, “Quantum teleportation.” </w:t>
      </w:r>
      <w:hyperlink r:id="rId39">
        <w:r>
          <w:rPr>
            <w:color w:val="2F5597"/>
            <w:u w:val="single"/>
          </w:rPr>
          <w:t>https://quantum.cloud.ibm.com/learning/en/courses/basics-of-quantum-information/entanglement-in-action/quantum-teleportation</w:t>
        </w:r>
      </w:hyperlink>
    </w:p>
    <w:p>
      <w:pPr>
        <w:pStyle w:val="ListBullet"/>
      </w:pPr>
      <w:r>
        <w:t xml:space="preserve">P15. Wojciech H. Zurek, “Decoherence and the transition from quantum to classical—revisited,” 2003. </w:t>
      </w:r>
      <w:hyperlink r:id="rId40">
        <w:r>
          <w:rPr>
            <w:color w:val="2F5597"/>
            <w:u w:val="single"/>
          </w:rPr>
          <w:t>https://arxiv.org/abs/quant-ph/0306072</w:t>
        </w:r>
      </w:hyperlink>
    </w:p>
    <w:p>
      <w:pPr>
        <w:pStyle w:val="ListBullet"/>
      </w:pPr>
      <w:r>
        <w:t xml:space="preserve">P16. Max Tegmark, “The importance of quantum decoherence in brain processes,” </w:t>
      </w:r>
      <w:r>
        <w:rPr>
          <w:i/>
        </w:rPr>
        <w:t>Physical Review E</w:t>
      </w:r>
      <w:r>
        <w:t xml:space="preserve"> 61, 2000. </w:t>
      </w:r>
      <w:hyperlink r:id="rId41">
        <w:r>
          <w:rPr>
            <w:color w:val="2F5597"/>
            <w:u w:val="single"/>
          </w:rPr>
          <w:t>https://arxiv.org/abs/quant-ph/9907009</w:t>
        </w:r>
      </w:hyperlink>
    </w:p>
    <w:p>
      <w:pPr>
        <w:pStyle w:val="ListBullet"/>
      </w:pPr>
      <w:r>
        <w:t xml:space="preserve">P17. Scott Hagan, Stuart R. Hameroff, and Jack A. Tuszyński, “Quantum computation in brain microtubules,” </w:t>
      </w:r>
      <w:r>
        <w:rPr>
          <w:i/>
        </w:rPr>
        <w:t>Physical Review E</w:t>
      </w:r>
      <w:r>
        <w:t xml:space="preserve"> 65, 2002. </w:t>
      </w:r>
      <w:hyperlink r:id="rId42">
        <w:r>
          <w:rPr>
            <w:color w:val="2F5597"/>
            <w:u w:val="single"/>
          </w:rPr>
          <w:t>https://arxiv.org/abs/quant-ph/0005025</w:t>
        </w:r>
      </w:hyperlink>
    </w:p>
    <w:p>
      <w:pPr>
        <w:pStyle w:val="Heading2"/>
      </w:pPr>
      <w:r>
        <w:t>Remote viewing and research methods</w:t>
      </w:r>
    </w:p>
    <w:p>
      <w:pPr>
        <w:pStyle w:val="ListBullet"/>
      </w:pPr>
      <w:r>
        <w:t xml:space="preserve">P05. Jessica Utts, “An Assessment of the Evidence for Psychic Functioning,” 1 September 1995. </w:t>
      </w:r>
      <w:hyperlink r:id="rId43">
        <w:r>
          <w:rPr>
            <w:color w:val="2F5597"/>
            <w:u w:val="single"/>
          </w:rPr>
          <w:t>https://ics.uci.edu/~jutts/air</w:t>
        </w:r>
      </w:hyperlink>
    </w:p>
    <w:p>
      <w:pPr>
        <w:pStyle w:val="ListBullet"/>
      </w:pPr>
      <w:r>
        <w:t xml:space="preserve">P06. Ray Hyman, “Evaluation of Program on Anomalous Mental Phenomena,” 11 September 1995. </w:t>
      </w:r>
      <w:hyperlink r:id="rId44">
        <w:r>
          <w:rPr>
            <w:color w:val="2F5597"/>
            <w:u w:val="single"/>
          </w:rPr>
          <w:t>https://ics.uci.edu/~jutts/hyman.html</w:t>
        </w:r>
      </w:hyperlink>
    </w:p>
    <w:p>
      <w:pPr>
        <w:pStyle w:val="ListBullet"/>
      </w:pPr>
      <w:r>
        <w:t xml:space="preserve">P07. Jessica Utts, “Response to Ray Hyman’s Report,” 1995. </w:t>
      </w:r>
      <w:hyperlink r:id="rId45">
        <w:r>
          <w:rPr>
            <w:color w:val="2F5597"/>
            <w:u w:val="single"/>
          </w:rPr>
          <w:t>https://ics.uci.edu/~jutts/response.html</w:t>
        </w:r>
      </w:hyperlink>
    </w:p>
    <w:p>
      <w:pPr>
        <w:pStyle w:val="ListBullet"/>
      </w:pPr>
      <w:r>
        <w:t xml:space="preserve">P20. Patrizio E. Tressoldi and Debra Lynne Katz, “Remote Viewing: A 1974–2022 Systematic Review and Meta-Analysis,” </w:t>
      </w:r>
      <w:r>
        <w:rPr>
          <w:i/>
        </w:rPr>
        <w:t>Journal of Scientific Exploration</w:t>
      </w:r>
      <w:r>
        <w:t xml:space="preserve"> 37, 2023. </w:t>
      </w:r>
      <w:hyperlink r:id="rId46">
        <w:r>
          <w:rPr>
            <w:color w:val="2F5597"/>
            <w:u w:val="single"/>
          </w:rPr>
          <w:t>https://doi.org/10.31275/20232931</w:t>
        </w:r>
      </w:hyperlink>
    </w:p>
    <w:p>
      <w:pPr>
        <w:pStyle w:val="ListBullet"/>
      </w:pPr>
      <w:r>
        <w:t xml:space="preserve">P21. Álex Escolà-Gascón et al., “Follow-up on the U.S. Central Intelligence Agency’s remote viewing experiments,” </w:t>
      </w:r>
      <w:r>
        <w:rPr>
          <w:i/>
        </w:rPr>
        <w:t>Brain and Behavior</w:t>
      </w:r>
      <w:r>
        <w:t xml:space="preserve"> 13, 2023. </w:t>
      </w:r>
      <w:hyperlink r:id="rId47">
        <w:r>
          <w:rPr>
            <w:color w:val="2F5597"/>
            <w:u w:val="single"/>
          </w:rPr>
          <w:t>https://pmc.ncbi.nlm.nih.gov/articles/PMC10275521/</w:t>
        </w:r>
      </w:hyperlink>
    </w:p>
    <w:p>
      <w:pPr>
        <w:pStyle w:val="ListBullet"/>
      </w:pPr>
      <w:r>
        <w:t xml:space="preserve">P22. Richard Wiseman and Caroline Watt, “Study preregistration: an early example and analysis,” </w:t>
      </w:r>
      <w:r>
        <w:rPr>
          <w:i/>
        </w:rPr>
        <w:t>PeerJ</w:t>
      </w:r>
      <w:r>
        <w:t xml:space="preserve"> 14, 2026. </w:t>
      </w:r>
      <w:hyperlink r:id="rId48">
        <w:r>
          <w:rPr>
            <w:color w:val="2F5597"/>
            <w:u w:val="single"/>
          </w:rPr>
          <w:t>https://doi.org/10.7717/peerj.21360</w:t>
        </w:r>
      </w:hyperlink>
    </w:p>
    <w:sectPr w:rsidR="00FC693F" w:rsidRPr="0006063C" w:rsidSect="00034616">
      <w:headerReference w:type="default" r:id="rId9"/>
      <w:footerReference w:type="default" r:id="rId10"/>
      <w:pgSz w:w="12240" w:h="15840"/>
      <w:pgMar w:top="1123" w:right="1267" w:bottom="1080" w:left="1267"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7"/>
      </w:rP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id="-1">
    <w:p>
      <w:r>
        <w:separator/>
      </w:r>
    </w:p>
  </w:footnote>
  <w:footnote w:id="0">
    <w:p>
      <w:r>
        <w:continuationSeparator/>
      </w:r>
    </w:p>
  </w:footnote>
  <w:footnote w:id="1">
    <w:p>
      <w:r>
        <w:footnoteRef/>
      </w:r>
      <w:r>
        <w:t> Wayne M. McDonnell, Analysis and Assessment of Gateway Process, Department of the Army, 9 June 1983; U.S. Government Publishing Office, GovInfo package GOVPUB-D101-PURL-gpo152943, https://www.govinfo.gov/app/details/GOVPUB-D101-PURL-gpo152943.</w:t>
      </w:r>
    </w:p>
  </w:footnote>
  <w:footnote w:id="2">
    <w:p>
      <w:r>
        <w:footnoteRef/>
      </w:r>
      <w:r>
        <w:t> Thobey Campion, ‘Found: Page 25 of the CIA’s Gateway Report on Astral Projection,’ 8 April 2021, https://www.vice.com/en/article/found-page-25-of-the-cias-gateway-report-on-astral-projection/. The sources checked do not establish why the page was missing.</w:t>
      </w:r>
    </w:p>
  </w:footnote>
  <w:footnote w:id="3">
    <w:p>
      <w:r>
        <w:footnoteRef/>
      </w:r>
      <w:r>
        <w:t> R. M. Ingendoh, E. S. Posny, and A. Heine, ‘Binaural beats to entrain the brain?,’ PLOS ONE 18 (2023), systematic review of 14 EEG studies, https://doi.org/10.1371/journal.pone.0286023.</w:t>
      </w:r>
    </w:p>
  </w:footnote>
  <w:footnote w:id="4">
    <w:p>
      <w:r>
        <w:footnoteRef/>
      </w:r>
      <w:r>
        <w:t> M. Garcia-Argibay, M. A. Santed, and J. M. Reales, ‘Efficacy of binaural auditory beats in cognition, anxiety, and pain perception,’ Psychological Research 83 (2019), https://pubmed.ncbi.nlm.nih.gov/30073406/.</w:t>
      </w:r>
    </w:p>
  </w:footnote>
  <w:footnote w:id="5">
    <w:p>
      <w:r>
        <w:footnoteRef/>
      </w:r>
      <w:r>
        <w:t> S. Dabu-Bondoc et al., Hemi-Sync surgical trials, Anesthesia &amp; Analgesia 97 (2003) and 110 (2010), https://pubmed.ncbi.nlm.nih.gov/12933400/ and https://pubmed.ncbi.nlm.nih.gov/19861358/.</w:t>
      </w:r>
    </w:p>
  </w:footnote>
  <w:footnote w:id="6">
    <w:p>
      <w:r>
        <w:footnoteRef/>
      </w:r>
      <w:r>
        <w:t> J. A. Nielsen et al., ‘An evaluation of the left-brain vs. right-brain hypothesis,’ PLOS ONE 8 (2013), resting-state fMRI data from 1,011 participants, https://pubmed.ncbi.nlm.nih.gov/23967180/.</w:t>
      </w:r>
    </w:p>
  </w:footnote>
  <w:footnote w:id="7">
    <w:p>
      <w:r>
        <w:footnoteRef/>
      </w:r>
      <w:r>
        <w:t> M. Goyal et al., ‘Meditation Programs for Psychological Stress and Well-being,’ JAMA Internal Medicine 174 (2014), 47 active-control trials and 3,515 adults, https://pmc.ncbi.nlm.nih.gov/articles/PMC4142584/.</w:t>
      </w:r>
    </w:p>
  </w:footnote>
  <w:footnote w:id="8">
    <w:p>
      <w:r>
        <w:footnoteRef/>
      </w:r>
      <w:r>
        <w:t> H. G. Jones et al., ‘Adjunctive use of hypnosis for clinical pain,’ Pain Reports 9 (2024), 70 studies and 6,078 participants; overall certainty very low, https://pmc.ncbi.nlm.nih.gov/articles/PMC11390056/.</w:t>
      </w:r>
    </w:p>
  </w:footnote>
  <w:footnote w:id="9">
    <w:p>
      <w:r>
        <w:footnoteRef/>
      </w:r>
      <w:r>
        <w:t> V. C. Goessl, J. E. Curtiss, and S. G. Hofmann, ‘The effect of heart rate variability biofeedback training on stress and anxiety,’ Psychological Medicine 47 (2017), https://pubmed.ncbi.nlm.nih.gov/28478782/.</w:t>
      </w:r>
    </w:p>
  </w:footnote>
  <w:footnote w:id="10">
    <w:p>
      <w:r>
        <w:footnoteRef/>
      </w:r>
      <w:r>
        <w:t> K. R. Konkoly et al., ‘Real-time dialogue between experimenters and dreamers during REM sleep,’ Current Biology 31 (2021), https://doi.org/10.1016/j.cub.2021.01.026.</w:t>
      </w:r>
    </w:p>
  </w:footnote>
  <w:footnote w:id="11">
    <w:p>
      <w:r>
        <w:footnoteRef/>
      </w:r>
      <w:r>
        <w:t> O. Blanke et al., ‘Stimulating illusory own-body perceptions,’ Nature 419 (2002), https://pubmed.ncbi.nlm.nih.gov/12239558/; B. Lenggenhager et al., ‘Video ergo sum,’ Science 317 (2007), https://pubmed.ncbi.nlm.nih.gov/17717189/.</w:t>
      </w:r>
    </w:p>
  </w:footnote>
  <w:footnote w:id="12">
    <w:p>
      <w:r>
        <w:footnoteRef/>
      </w:r>
      <w:r>
        <w:t> F. Simões, R. Pfaff, and H. Freudenreich, ‘Satellite observations of Schumann resonances in the Earth’s ionosphere,’ Geophysical Research Letters 38 (2011), https://doi.org/10.1029/2011GL049668.</w:t>
      </w:r>
    </w:p>
  </w:footnote>
  <w:footnote w:id="13">
    <w:p>
      <w:r>
        <w:footnoteRef/>
      </w:r>
      <w:r>
        <w:t> Karl Pribram, ‘The Holographic Brain,’ https://www.intuitionnetwork.org/txt/pribram.htm; David Bohm, Physical Review 85 (1952), https://doi.org/10.1103/PhysRev.85.180; Juan Maldacena, https://arxiv.org/abs/hep-th/9711200.</w:t>
      </w:r>
    </w:p>
  </w:footnote>
  <w:footnote w:id="14">
    <w:p>
      <w:r>
        <w:footnoteRef/>
      </w:r>
      <w:r>
        <w:t> NIST/CODATA, 2022 adjustment, Planck length 1.616255(18) × 10^-35 m, https://physics.nist.gov/cuu/pdf/all.pdf.</w:t>
      </w:r>
    </w:p>
  </w:footnote>
  <w:footnote w:id="15">
    <w:p>
      <w:r>
        <w:footnoteRef/>
      </w:r>
      <w:r>
        <w:t> Royal Swedish Academy of Sciences, ‘The Nobel Prize in Physics 2022: Press release,’ https://www.nobelprize.org/prizes/physics/2022/press-release/.</w:t>
      </w:r>
    </w:p>
  </w:footnote>
  <w:footnote w:id="16">
    <w:p>
      <w:r>
        <w:footnoteRef/>
      </w:r>
      <w:r>
        <w:t> IBM Quantum Learning, ‘Quantum teleportation,’ https://quantum.cloud.ibm.com/learning/en/courses/basics-of-quantum-information/entanglement-in-action/quantum-teleportation; W. H. Zurek, ‘Decoherence and the transition from quantum to classical—revisited,’ https://arxiv.org/abs/quant-ph/0306072.</w:t>
      </w:r>
    </w:p>
  </w:footnote>
  <w:footnote w:id="17">
    <w:p>
      <w:r>
        <w:footnoteRef/>
      </w:r>
      <w:r>
        <w:t> Jessica Utts, ‘An Assessment of the Evidence for Psychic Functioning,’ 1 September 1995, https://ics.uci.edu/~jutts/air.</w:t>
      </w:r>
    </w:p>
  </w:footnote>
  <w:footnote w:id="18">
    <w:p>
      <w:r>
        <w:footnoteRef/>
      </w:r>
      <w:r>
        <w:t> Ray Hyman, ‘Evaluation of Program on Anomalous Mental Phenomena,’ 11 September 1995, https://ics.uci.edu/~jutts/hyman.html.</w:t>
      </w:r>
    </w:p>
  </w:footnote>
  <w:footnote w:id="19">
    <w:p>
      <w:r>
        <w:footnoteRef/>
      </w:r>
      <w:r>
        <w:t> CIA, ‘Ask Molly: Did CIA Really Study Psychic Powers?,’ 27 October 2021, https://www.cia.gov/stories/story/ask-molly-did-cia-really-study-psychic-powers/; AIR conclusion excerpt, https://centerforinquiry.s3.amazonaws.com/wp-content/uploads/sites/29/1996/03/22165045/p24.pdf.</w:t>
      </w:r>
    </w:p>
  </w:footnote>
  <w:footnote w:id="20">
    <w:p>
      <w:r>
        <w:footnoteRef/>
      </w:r>
      <w:r>
        <w:t> P. E. Tressoldi and D. L. Katz, ‘Remote Viewing: A 1974–2022 Systematic Review and Meta-Analysis,’ Journal of Scientific Exploration 37 (2023), https://doi.org/10.31275/20232931.</w:t>
      </w:r>
    </w:p>
  </w:footnote>
  <w:footnote w:id="21">
    <w:p>
      <w:r>
        <w:footnoteRef/>
      </w:r>
      <w:r>
        <w:t> R. Wiseman and C. Watt, ‘Study preregistration: an early example and analysis,’ PeerJ 14 (2026), https://doi.org/10.7717/peerj.21360.</w:t>
      </w:r>
    </w:p>
  </w:footnote>
  <w:footnote w:id="22">
    <w:p>
      <w:r>
        <w:footnoteRef/>
      </w:r>
      <w:r>
        <w:t> M. Farias et al., ‘Adverse events in meditation practices and meditation-based therapies,’ Acta Psychiatrica Scandinavica (2020), https://doi.org/10.1111/acps.13225. The estimate is not a Gateway-specific or personalized risk.</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5F5F5F"/>
        <w:sz w:val="17"/>
      </w:rPr>
      <w:t>Gateway Process Evidence Review and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Marker">
    <w:name w:val="Page Marker"/>
    <w:pPr>
      <w:keepNext/>
      <w:spacing w:before="200" w:after="100"/>
    </w:pPr>
    <w:rPr>
      <w:rFonts w:ascii="Aptos" w:hAnsi="Aptos"/>
      <w:i/>
      <w:color w:val="666666"/>
      <w:sz w:val="16"/>
    </w:rPr>
  </w:style>
  <w:style w:type="paragraph" w:customStyle="1" w:styleId="SourceNote">
    <w:name w:val="Source Note"/>
    <w:pPr>
      <w:spacing w:after="120"/>
      <w:ind w:left="288" w:right="288"/>
    </w:pPr>
    <w:rPr>
      <w:rFonts w:ascii="Aptos" w:hAnsi="Aptos"/>
      <w:color w:val="464646"/>
      <w:sz w:val="18"/>
    </w:rPr>
  </w:style>
  <w:style w:type="paragraph" w:customStyle="1" w:styleId="FigureCaption">
    <w:name w:val="Figure Caption"/>
    <w:pPr>
      <w:keepNext/>
      <w:spacing w:after="60"/>
    </w:pPr>
    <w:rPr>
      <w:rFonts w:ascii="Aptos" w:hAnsi="Aptos"/>
      <w:i/>
      <w:color w:val="32323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a.gov/readingroom/docs/cia-rdp96-00788r001700210016-5.pdf" TargetMode="External"/><Relationship Id="rId12" Type="http://schemas.openxmlformats.org/officeDocument/2006/relationships/hyperlink" Target="https://www.govinfo.gov/app/details/GOVPUB-D101-PURL-gpo152943" TargetMode="External"/><Relationship Id="rId13" Type="http://schemas.openxmlformats.org/officeDocument/2006/relationships/hyperlink" Target="https://www.vice.com/en/article/found-page-25-of-the-cias-gateway-report-on-astral-projection/" TargetMode="External"/><Relationship Id="rId14" Type="http://schemas.openxmlformats.org/officeDocument/2006/relationships/hyperlink" Target="https://s3.documentcloud.org/documents/20601195/6-full-report.pdf" TargetMode="External"/><Relationship Id="rId15" Type="http://schemas.openxmlformats.org/officeDocument/2006/relationships/hyperlink" Target="https://www.cia.gov/stories/story/ask-molly-did-cia-really-study-psychic-powers/" TargetMode="External"/><Relationship Id="rId16" Type="http://schemas.openxmlformats.org/officeDocument/2006/relationships/hyperlink" Target="https://centerforinquiry.s3.amazonaws.com/wp-content/uploads/sites/29/1996/03/22165045/p24.pdf" TargetMode="External"/><Relationship Id="rId17" Type="http://schemas.openxmlformats.org/officeDocument/2006/relationships/hyperlink" Target="https://doi.org/10.1371/journal.pone.0286023" TargetMode="External"/><Relationship Id="rId18" Type="http://schemas.openxmlformats.org/officeDocument/2006/relationships/hyperlink" Target="https://pubmed.ncbi.nlm.nih.gov/30073406/" TargetMode="External"/><Relationship Id="rId19" Type="http://schemas.openxmlformats.org/officeDocument/2006/relationships/hyperlink" Target="https://pubmed.ncbi.nlm.nih.gov/42349368/" TargetMode="External"/><Relationship Id="rId20" Type="http://schemas.openxmlformats.org/officeDocument/2006/relationships/hyperlink" Target="https://doi.org/10.1523/ENEURO.0232-19.2020" TargetMode="External"/><Relationship Id="rId21" Type="http://schemas.openxmlformats.org/officeDocument/2006/relationships/hyperlink" Target="https://pubmed.ncbi.nlm.nih.gov/19861358/" TargetMode="External"/><Relationship Id="rId22" Type="http://schemas.openxmlformats.org/officeDocument/2006/relationships/hyperlink" Target="https://pubmed.ncbi.nlm.nih.gov/12933400/" TargetMode="External"/><Relationship Id="rId23" Type="http://schemas.openxmlformats.org/officeDocument/2006/relationships/hyperlink" Target="https://pubmed.ncbi.nlm.nih.gov/28478782/" TargetMode="External"/><Relationship Id="rId24" Type="http://schemas.openxmlformats.org/officeDocument/2006/relationships/hyperlink" Target="https://pmc.ncbi.nlm.nih.gov/articles/PMC11390056/" TargetMode="External"/><Relationship Id="rId25" Type="http://schemas.openxmlformats.org/officeDocument/2006/relationships/hyperlink" Target="https://pmc.ncbi.nlm.nih.gov/articles/PMC4142584/" TargetMode="External"/><Relationship Id="rId26" Type="http://schemas.openxmlformats.org/officeDocument/2006/relationships/hyperlink" Target="https://pubmed.ncbi.nlm.nih.gov/12239558/" TargetMode="External"/><Relationship Id="rId27" Type="http://schemas.openxmlformats.org/officeDocument/2006/relationships/hyperlink" Target="https://doi.org/10.1016/j.cub.2021.01.026" TargetMode="External"/><Relationship Id="rId28" Type="http://schemas.openxmlformats.org/officeDocument/2006/relationships/hyperlink" Target="https://doi.org/10.1111/acps.13225" TargetMode="External"/><Relationship Id="rId29" Type="http://schemas.openxmlformats.org/officeDocument/2006/relationships/hyperlink" Target="https://pubmed.ncbi.nlm.nih.gov/23967180/" TargetMode="External"/><Relationship Id="rId30" Type="http://schemas.openxmlformats.org/officeDocument/2006/relationships/hyperlink" Target="https://pubmed.ncbi.nlm.nih.gov/17717189/" TargetMode="External"/><Relationship Id="rId31" Type="http://schemas.openxmlformats.org/officeDocument/2006/relationships/hyperlink" Target="https://www.nccih.nih.gov/health/meditation-and-mindfulness-effectiveness-and-safety" TargetMode="External"/><Relationship Id="rId32" Type="http://schemas.openxmlformats.org/officeDocument/2006/relationships/hyperlink" Target="https://www.nccih.nih.gov/health/relaxation-techniques-what-you-need-to-know" TargetMode="External"/><Relationship Id="rId33" Type="http://schemas.openxmlformats.org/officeDocument/2006/relationships/hyperlink" Target="https://doi.org/10.1029/2011GL049668" TargetMode="External"/><Relationship Id="rId34" Type="http://schemas.openxmlformats.org/officeDocument/2006/relationships/hyperlink" Target="https://www.intuitionnetwork.org/txt/pribram.htm" TargetMode="External"/><Relationship Id="rId35" Type="http://schemas.openxmlformats.org/officeDocument/2006/relationships/hyperlink" Target="https://doi.org/10.1103/PhysRev.85.180" TargetMode="External"/><Relationship Id="rId36" Type="http://schemas.openxmlformats.org/officeDocument/2006/relationships/hyperlink" Target="https://arxiv.org/abs/hep-th/9711200" TargetMode="External"/><Relationship Id="rId37" Type="http://schemas.openxmlformats.org/officeDocument/2006/relationships/hyperlink" Target="https://physics.nist.gov/cuu/pdf/all.pdf" TargetMode="External"/><Relationship Id="rId38" Type="http://schemas.openxmlformats.org/officeDocument/2006/relationships/hyperlink" Target="https://www.nobelprize.org/prizes/physics/2022/press-release/" TargetMode="External"/><Relationship Id="rId39" Type="http://schemas.openxmlformats.org/officeDocument/2006/relationships/hyperlink" Target="https://quantum.cloud.ibm.com/learning/en/courses/basics-of-quantum-information/entanglement-in-action/quantum-teleportation" TargetMode="External"/><Relationship Id="rId40" Type="http://schemas.openxmlformats.org/officeDocument/2006/relationships/hyperlink" Target="https://arxiv.org/abs/quant-ph/0306072" TargetMode="External"/><Relationship Id="rId41" Type="http://schemas.openxmlformats.org/officeDocument/2006/relationships/hyperlink" Target="https://arxiv.org/abs/quant-ph/9907009" TargetMode="External"/><Relationship Id="rId42" Type="http://schemas.openxmlformats.org/officeDocument/2006/relationships/hyperlink" Target="https://arxiv.org/abs/quant-ph/0005025" TargetMode="External"/><Relationship Id="rId43" Type="http://schemas.openxmlformats.org/officeDocument/2006/relationships/hyperlink" Target="https://ics.uci.edu/~jutts/air" TargetMode="External"/><Relationship Id="rId44" Type="http://schemas.openxmlformats.org/officeDocument/2006/relationships/hyperlink" Target="https://ics.uci.edu/~jutts/hyman.html" TargetMode="External"/><Relationship Id="rId45" Type="http://schemas.openxmlformats.org/officeDocument/2006/relationships/hyperlink" Target="https://ics.uci.edu/~jutts/response.html" TargetMode="External"/><Relationship Id="rId46" Type="http://schemas.openxmlformats.org/officeDocument/2006/relationships/hyperlink" Target="https://doi.org/10.31275/20232931" TargetMode="External"/><Relationship Id="rId47" Type="http://schemas.openxmlformats.org/officeDocument/2006/relationships/hyperlink" Target="https://pmc.ncbi.nlm.nih.gov/articles/PMC10275521/" TargetMode="External"/><Relationship Id="rId48" Type="http://schemas.openxmlformats.org/officeDocument/2006/relationships/hyperlink" Target="https://doi.org/10.7717/peerj.21360" TargetMode="External"/><Relationship Id="rId4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Gateway research edition</dc:creator>
  <cp:keywords/>
  <dc:description>Editable research and transcription project</dc:description>
  <cp:lastModifiedBy>Project Gateway research edition</cp:lastModifiedBy>
  <cp:revision>1</cp:revision>
  <dcterms:created xsi:type="dcterms:W3CDTF">2013-12-23T23:15:00Z</dcterms:created>
  <dcterms:modified xsi:type="dcterms:W3CDTF">2013-12-23T23:15:00Z</dcterms:modified>
  <cp:category/>
</cp:coreProperties>
</file>