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</w:p>
    <w:p>
      <w:pPr>
        <w:spacing w:after="60" w:before="60"/>
      </w:pPr>
    </w:p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2E75B6"/>
          <w:sz w:val="64"/>
          <w:szCs w:val="64"/>
        </w:rPr>
        <w:t xml:space="preserve">CyberGuardX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International Risk Assessment 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Documentation &amp; Improvement Guide</w:t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NIST CSF 2.0 Aligned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May 2026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ageBreakBefore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1. Current Page Inventory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application has 11 pages covering the full NIST CSF 2.0 risk assessment workflow: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Mongolian Label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Хянах самбар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— CSF radar chart, tier rings, KPI cards, gap table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Профайл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 context — name, industry, risk appetite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/assets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Хөрөнгө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asset registry with security posture flags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/threats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Аюул занал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Threat catalog + asset-threat mapping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/vulnerabilities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Эмзэг байдал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CVE tracking, CISA KEV import, remediation workflow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/assessments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Эрсдэл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risk register — inherent/residual scoring, 5x5 matrix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/controls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NIST-ийн хяналтууд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106+ NIST CSF 2.0 subcategories grouped by function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/control-assessments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Хяналтын үнэлгээ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effectiveness — maturity, evidence, risk reduction 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/action-plan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Арга хэмжээний төлөвлөгөө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Remediation tracking — owner, due date, status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/reports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Тайлан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hub — CSV/Excel for 4 report types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/reports/risk-treatment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Эрсдэлийн арга хэмжээ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treatment dashboard — Mitigate/Accept/Transfer/Avoid</w:t>
            </w:r>
          </w:p>
        </w:tc>
      </w:tr>
    </w:tbl>
    <w:p>
      <w:pPr>
        <w:spacing w:after="60" w:before="60"/>
      </w:pPr>
    </w:p>
    <w:p>
      <w:pPr>
        <w:pageBreakBefore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2. Risk Assessment Workflow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application implements an end-to-end NIST CSF 2.0 aligned workflow: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Profile → Assets → Threats → Vulnerabilities  (data collection phase)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Assessments — inherent likelihood x impact scoring (5x5 matrix = score 1-25)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Controls / Control Assessments — maps NIST CSF 2.0 subcategories to risks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Residual risk recalculated after control implementation effectiveness is scored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Risk treatment decision: Mitigate / Accept / Transfer / Avoid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Action Plan — auto-synced from control recommendations with owner and due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Reports — CSV/Excel export and live risk treatment dashboard</w:t>
      </w:r>
    </w:p>
    <w:p>
      <w:pPr>
        <w:spacing w:after="60" w:before="60"/>
      </w:pPr>
    </w:p>
    <w:p>
      <w:pPr>
        <w:pageBreakBefore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 NIST CSF 2.0 Function Coverage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4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Pages Covering It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Gap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 (GV)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/profile only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policy tracking, no supply chain, no governance docs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Identify (ID)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/assets, /threats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business impact analysis, no dependency mapping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 (PR)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Violet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/controls, /control-assessments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access control workflow, no training records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 (DE)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/vulnerabilities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automated monitoring, detection is manual only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Respond (RS)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Orange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/action-plan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incident log, no response playbooks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 (RC)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Emerald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/reports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recovery plans, no lessons-learned records</w:t>
            </w:r>
          </w:p>
        </w:tc>
      </w:tr>
    </w:tbl>
    <w:p>
      <w:pPr>
        <w:spacing w:after="60" w:before="60"/>
      </w:pPr>
    </w:p>
    <w:p>
      <w:pPr>
        <w:pageBreakBefore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4. Detailed Improvement Areas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4.1  Govern (GV) — The Biggest Gap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/profile page only stores basic org info (name, industry, risk appetite). NIST CSF 2.0 introduced GV as a brand-new function specifically because governance was under-represented in CSF 1.1. It requires 6 subcategories: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Subcategory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Requires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GV.OC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mission, stakeholders, legal/regulatory obligations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GV.RM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Formal risk appetite statement linked to scoring thresholds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GV.RR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Defined roles — who is accountable for each risk decision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GV.PO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Policies with review cycles and approval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GV.OV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Board/executive oversight records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GV.SC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Third-party/supply chain risk criteria</w:t>
            </w:r>
          </w:p>
        </w:tc>
      </w:tr>
    </w:tbl>
    <w:p>
      <w:pPr>
        <w:spacing w:after="60" w:before="6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Recommended pages to build: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/policies — Policy registry: title, GV subcategory, owner, review date, approval status (Draft &gt; Under Review &gt; Approved), document URL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/governance — Risk appetite statement formally linked to 1-25 score thresholds, oversight meeting log, board review dates</w:t>
      </w:r>
    </w:p>
    <w:p>
      <w:pPr>
        <w:spacing w:after="60" w:before="6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Database tables needed: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governance_documents (id, title, description, gv_subcategory, owner, review_date, approval_status, document_url)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risk_appetite_statement (id, threshold_low, threshold_medium, threshold_high, threshold_critical, approved_by, approved_date)</w:t>
      </w:r>
    </w:p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4.2  Assessments Page — Risk Register Needs Strengthening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/assessments page does inherent/residual scoring with a 5x5 matrix. This is correct but several important fields are missing: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 Field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owner (separate from asset owner)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NIST GV.RR requires accountability assignment per risk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Treatment rationale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 decisions need documented justification for audits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review date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Risks should expire and require re-assessment periodically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 regulatory requirement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 each risk to compliance obligations (ISO 27001, SOC2, GDPR)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Residual risk sign-off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approved accepting the residual risk level</w:t>
            </w:r>
          </w:p>
        </w:tc>
      </w:tr>
    </w:tbl>
    <w:p>
      <w:pPr>
        <w:spacing w:after="6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Scoring note: Current 5x5 uses thresholds: &lt;=4 Low, &lt;=9 Medium, &lt;=16 High, &gt;=17 Critical. The inherent vs. residual gap (how much controls actually reduced risk) is not visualized. Recommend adding a Risk Reduction % column to the register table.</w:t>
      </w:r>
    </w:p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4.3  Vulnerabilities Page — Detection Is Manual Only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CVE tracking, CISA KEV import, severity/CVSS scoring, and remediation status are solid for DE.CM-01. However detection only works when someone manually clicks Scan or imports.</w:t>
      </w:r>
    </w:p>
    <w:p>
      <w:pPr>
        <w:spacing w:after="60" w:before="6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to add: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Scheduled CISA KEV sync — background job every 24 hours checking CISA KEV feed for new CVEs matching software/services in the asset registry, auto-creating vulnerability records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Vulnerability aging — flag vulnerabilities open longer than SLA: Critical = 15 days, High = 30 days, Medium = 60 days, Low = 90 days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Mean Time to Remediate (MTTR) — calculate average days from discovered_date to remediated_date per severity level</w:t>
      </w:r>
    </w:p>
    <w:p>
      <w:pPr>
        <w:spacing w:after="60" w:before="6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New stat cards recommended for /vulnerabilities: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Critical (SLA: 15d)  |  Overdue SLAs  |  MTTR (Critical)  |  MTTR (High)</w:t>
      </w:r>
    </w:p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4.4  Controls &amp; Control Assessments — Evidence Is Hollow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/control-assessments page has fields for implementation_status, effectiveness_rating (1-5), maturity_level (1-4), and a text evidence field. The problem is evidence is just free text with no timestamping, versioning, or audit trail.</w:t>
      </w:r>
    </w:p>
    <w:p>
      <w:pPr>
        <w:spacing w:after="60" w:before="6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to add: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Evidence attachments table — assessment_evidence (id, control_assessment_id, assessor, submitted_at, evidence_text, evidence_type) so each submission is timestamped with who submitted 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Assessment schedule — each control should have a next_review_date; overdue reviews surface as warning badges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Maturity trend — store historical maturity scores to show progression (e.g. GV.PO went from Maturity 1 to 3 over 6 months)</w:t>
      </w:r>
    </w:p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4.5  Action Plan — Missing Link to Governance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/action-plan auto-syncs from control recommendations and allows status/owner/due date management. This is solid. What is missing: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Risk treatment sign-off workflow — Accept decisions should require a named approver and approval date, appearing in the action plan as Accepted by CISO on [date]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Action plan to CSF gap linkage — when an action item is Done, the corresponding CSF gap tier should auto-update on the dashboard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SLA breach alerting — action items past due_date should surface as alerts on the dashboard</w:t>
      </w:r>
    </w:p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4.6  Reports — Missing Executive View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Should Show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Executive Summary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One-page: overall risk posture score, top 5 risks, CSF tier by function, open critical actions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Gap Report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NIST subcategory: current tier, target tier, gap, responsible owner, action plan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Trend Report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Month-over-month: avg risk score, critical/high count, controls implemented, vulnerabilities remediated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Evidence Package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Exportable bundle of: control assessment evidence + risk register + treatment decisions</w:t>
            </w:r>
          </w:p>
        </w:tc>
      </w:tr>
    </w:tbl>
    <w:p>
      <w:pPr>
        <w:spacing w:after="6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Note: The /api/reports/risk-trends endpoint already stores daily metric snapshots in risk_metric_snapshots. A frontend page at /reports/trends is needed to visualize this data as a line chart.</w:t>
      </w:r>
    </w:p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4.7  Dashboard — Gap Table Needs Automation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dashboard shows a gap table where target_tier is set manually per subcategory. The current_tier is derived from only 4 asset posture flags (MFA, encryption, logging, backup coverage %).</w:t>
      </w:r>
    </w:p>
    <w:p>
      <w:pPr>
        <w:spacing w:after="60" w:before="6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Current tier computed from only 4 binary flags — too coarse for 106 subcategories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Target tiers set manually with no link to the organization's risk appetite statement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Gaps do not automatically close when action plan items are completed</w:t>
      </w:r>
    </w:p>
    <w:p>
      <w:pPr>
        <w:spacing w:after="60" w:before="6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Recommended improvements: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Auto-close gaps: when an action plan item mapped to subcategory X is marked Done, increment current_tier for that subcategory by 1 (up to target)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Risk appetite to tier target mapping: if risk appetite is Low, auto-set target tiers to 3 (Repeatable); if High, target tier 2 is acceptable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Coverage score per function: show a % completion ring per GV/ID/PR/DE/RS/RC function based on (subcategories at target / total subcategories)</w:t>
      </w:r>
    </w:p>
    <w:p>
      <w:pPr>
        <w:spacing w:after="60" w:before="60"/>
      </w:pPr>
    </w:p>
    <w:p>
      <w:pPr>
        <w:pageBreakBefore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5. Recommended Build Order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800"/>
        <w:gridCol w:w="1800"/>
        <w:gridCol w:w="19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/ Feature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NIST Coverage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/policies — Policy registry with GV subcategory mapping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GV.PO, GV.OV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register: add owner, review date, treatment sign-off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GV.RR, GV.RM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Vulnerability SLA aging + MTTR metrics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DE.CM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assessment evidence timestamps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PR, ID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/reports/trends — risk trend line chart (data already exists)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Auto-close CSF gaps when action items 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/incidents — Incident log + response actions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RS, RC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CISA KEV sync (background job)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DE.CM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Executive summary report 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appetite statement linked to score thresholds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GV.RM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60" w:before="60"/>
      </w:pPr>
    </w:p>
    <w:p>
      <w:pPr>
        <w:pageBreakBefore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6. Quick Wins — Minimal Code Changes Required</w:t>
      </w:r>
    </w:p>
    <w:p>
      <w:pPr>
        <w:spacing w:after="6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These four improvements can be done immediately with minimal effort: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Risk register review date — add a review_date column to risk_register and show a badge on /assessments for risks not reviewed in 90+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Vulnerability MTTR — add a computed stat to /vulnerabilities showing AVG(remediated_date - discovered_date) per severity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Trends page — risk_metric_snapshots is already populated daily; add a /reports/trends page with a Recharts line chart reading from /api/reports/risk-trends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Action plan overdue badge — on /action-plan, highlight rows where due_date is before today and status is not Done or Accepted</w:t>
      </w:r>
    </w:p>
    <w:p>
      <w:pPr>
        <w:spacing w:after="60" w:before="60"/>
      </w:pPr>
    </w:p>
    <w:p>
      <w:pPr>
        <w:spacing w:after="60" w:before="60"/>
      </w:pP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Document —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CyberGuardX Documentation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2026-05-12T06:05:56.158Z</dcterms:created>
  <dcterms:modified xsi:type="dcterms:W3CDTF">2026-05-12T06:05:56.165Z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