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240"/>
      </w:pPr>
      <w:r>
        <w:rPr>
          <w:rFonts w:ascii="Calibri" w:hAnsi="Calibri"/>
          <w:b/>
          <w:color w:val="646464"/>
          <w:sz w:val="24"/>
        </w:rPr>
        <w:t>Project Design Phase</w:t>
        <w:br/>
      </w:r>
      <w:r>
        <w:rPr>
          <w:rFonts w:ascii="Calibri" w:hAnsi="Calibri"/>
          <w:b/>
          <w:color w:val="1B365D"/>
          <w:sz w:val="40"/>
        </w:rPr>
        <w:t>Problem – Solution Fit Template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CCCCCC"/>
          <w:bottom w:val="single" w:sz="4" w:space="0" w:color="CCCCCC"/>
          <w:insideH w:val="single" w:sz="4" w:space="0" w:color="CCCCCC"/>
          <w:insideV w:val="none"/>
          <w:left w:val="none"/>
          <w:right w:val="none"/>
        </w:tblBorders>
      </w:tblPr>
      <w:tblGrid>
        <w:gridCol w:w="4968"/>
        <w:gridCol w:w="4968"/>
      </w:tblGrid>
      <w:tr>
        <w:tc>
          <w:tcPr>
            <w:tcW w:type="dxa" w:w="3168"/>
            <w:shd w:fill="F2F4F7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b/>
                <w:sz w:val="20"/>
              </w:rPr>
              <w:t>Date</w:t>
            </w:r>
          </w:p>
        </w:tc>
        <w:tc>
          <w:tcPr>
            <w:tcW w:type="dxa" w:w="6480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sz w:val="20"/>
              </w:rPr>
              <w:t>29 September 2026</w:t>
            </w:r>
          </w:p>
        </w:tc>
      </w:tr>
      <w:tr>
        <w:tc>
          <w:tcPr>
            <w:tcW w:type="dxa" w:w="3168"/>
            <w:shd w:fill="F2F4F7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b/>
                <w:sz w:val="20"/>
              </w:rPr>
              <w:t>Team ID</w:t>
            </w:r>
          </w:p>
        </w:tc>
        <w:tc>
          <w:tcPr>
            <w:tcW w:type="dxa" w:w="6480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sz w:val="20"/>
              </w:rPr>
              <w:t>SWTID-2026-9791</w:t>
            </w:r>
          </w:p>
        </w:tc>
      </w:tr>
      <w:tr>
        <w:tc>
          <w:tcPr>
            <w:tcW w:type="dxa" w:w="3168"/>
            <w:shd w:fill="F2F4F7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b/>
                <w:sz w:val="20"/>
              </w:rPr>
              <w:t>Project Name</w:t>
            </w:r>
          </w:p>
        </w:tc>
        <w:tc>
          <w:tcPr>
            <w:tcW w:type="dxa" w:w="6480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sz w:val="20"/>
              </w:rPr>
              <w:t>Streamlining IT Procurement: Automating Standard Laptop Orders with Flow Designer</w:t>
            </w:r>
          </w:p>
        </w:tc>
      </w:tr>
      <w:tr>
        <w:tc>
          <w:tcPr>
            <w:tcW w:type="dxa" w:w="3168"/>
            <w:shd w:fill="F2F4F7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b/>
                <w:sz w:val="20"/>
              </w:rPr>
              <w:t>Maximum Marks</w:t>
            </w:r>
          </w:p>
        </w:tc>
        <w:tc>
          <w:tcPr>
            <w:tcW w:type="dxa" w:w="6480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sz w:val="20"/>
              </w:rPr>
              <w:t>2 Marks</w:t>
            </w:r>
          </w:p>
        </w:tc>
      </w:tr>
      <w:tr>
        <w:tc>
          <w:tcPr>
            <w:tcW w:type="dxa" w:w="3168"/>
            <w:shd w:fill="F2F4F7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b/>
                <w:sz w:val="20"/>
              </w:rPr>
              <w:t>Team Size</w:t>
            </w:r>
          </w:p>
        </w:tc>
        <w:tc>
          <w:tcPr>
            <w:tcW w:type="dxa" w:w="6480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sz w:val="20"/>
              </w:rPr>
              <w:t>3</w:t>
            </w:r>
          </w:p>
        </w:tc>
      </w:tr>
      <w:tr>
        <w:tc>
          <w:tcPr>
            <w:tcW w:type="dxa" w:w="3168"/>
            <w:shd w:fill="F2F4F7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b/>
                <w:sz w:val="20"/>
              </w:rPr>
              <w:t>Team Leader</w:t>
            </w:r>
          </w:p>
        </w:tc>
        <w:tc>
          <w:tcPr>
            <w:tcW w:type="dxa" w:w="6480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sz w:val="20"/>
              </w:rPr>
              <w:t>MONIKA S</w:t>
            </w:r>
          </w:p>
        </w:tc>
      </w:tr>
      <w:tr>
        <w:tc>
          <w:tcPr>
            <w:tcW w:type="dxa" w:w="3168"/>
            <w:shd w:fill="F2F4F7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b/>
                <w:sz w:val="20"/>
              </w:rPr>
              <w:t>Team Member</w:t>
            </w:r>
          </w:p>
        </w:tc>
        <w:tc>
          <w:tcPr>
            <w:tcW w:type="dxa" w:w="6480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sz w:val="20"/>
              </w:rPr>
              <w:t>PREETHA S</w:t>
            </w:r>
          </w:p>
        </w:tc>
      </w:tr>
      <w:tr>
        <w:tc>
          <w:tcPr>
            <w:tcW w:type="dxa" w:w="3168"/>
            <w:shd w:fill="F2F4F7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b/>
                <w:sz w:val="20"/>
              </w:rPr>
              <w:t>Team Member</w:t>
            </w:r>
          </w:p>
        </w:tc>
        <w:tc>
          <w:tcPr>
            <w:tcW w:type="dxa" w:w="6480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sz w:val="20"/>
              </w:rPr>
              <w:t>RANJANI DEVI M</w:t>
            </w:r>
          </w:p>
        </w:tc>
      </w:tr>
    </w:tbl>
    <w:p>
      <w:pPr>
        <w:spacing w:after="240"/>
      </w:pPr>
    </w:p>
    <w:p>
      <w:pPr>
        <w:spacing w:after="120"/>
      </w:pPr>
      <w:r>
        <w:rPr>
          <w:rFonts w:ascii="Calibri" w:hAnsi="Calibri"/>
          <w:b/>
          <w:color w:val="1B365D"/>
          <w:sz w:val="24"/>
        </w:rPr>
        <w:t>Problem – Solution Fit Template:</w:t>
      </w:r>
    </w:p>
    <w:p>
      <w:pPr>
        <w:spacing w:after="160"/>
      </w:pPr>
      <w:r>
        <w:t>The Problem–Solution Fit identifies the access-control problem faced by users and verifies that a field-value-based ACL solution addresses the actual security need. It connects the customer problem, user behaviour, constraints and the proposed solution.</w:t>
      </w:r>
    </w:p>
    <w:p>
      <w:pPr>
        <w:spacing w:after="80"/>
      </w:pPr>
      <w:r>
        <w:rPr>
          <w:rFonts w:ascii="Calibri" w:hAnsi="Calibri"/>
          <w:b/>
          <w:color w:val="1B365D"/>
          <w:sz w:val="22"/>
        </w:rPr>
        <w:t>Purpose:</w:t>
      </w:r>
    </w:p>
    <w:p>
      <w:pPr>
        <w:spacing w:after="60"/>
      </w:pPr>
      <w:r>
        <w:rPr>
          <w:rFonts w:ascii="Calibri" w:hAnsi="Calibri"/>
          <w:sz w:val="20"/>
        </w:rPr>
        <w:t xml:space="preserve">☐   </w:t>
      </w:r>
      <w:r>
        <w:rPr>
          <w:rFonts w:ascii="Calibri" w:hAnsi="Calibri"/>
          <w:sz w:val="20"/>
        </w:rPr>
        <w:t>Solve record-access problems using rules that match the user's authorization context.</w:t>
      </w:r>
    </w:p>
    <w:p>
      <w:pPr>
        <w:spacing w:after="60"/>
      </w:pPr>
      <w:r>
        <w:rPr>
          <w:rFonts w:ascii="Calibri" w:hAnsi="Calibri"/>
          <w:sz w:val="20"/>
        </w:rPr>
        <w:t xml:space="preserve">☐   </w:t>
      </w:r>
      <w:r>
        <w:rPr>
          <w:rFonts w:ascii="Calibri" w:hAnsi="Calibri"/>
          <w:sz w:val="20"/>
        </w:rPr>
        <w:t>Reduce unauthorized record exposure by evaluating field values before access is granted.</w:t>
      </w:r>
    </w:p>
    <w:p>
      <w:pPr>
        <w:spacing w:after="60"/>
      </w:pPr>
      <w:r>
        <w:rPr>
          <w:rFonts w:ascii="Calibri" w:hAnsi="Calibri"/>
          <w:sz w:val="20"/>
        </w:rPr>
        <w:t xml:space="preserve">☐   </w:t>
      </w:r>
      <w:r>
        <w:rPr>
          <w:rFonts w:ascii="Calibri" w:hAnsi="Calibri"/>
          <w:sz w:val="20"/>
        </w:rPr>
        <w:t>Make access-control behaviour consistent, understandable and auditable.</w:t>
      </w:r>
    </w:p>
    <w:p>
      <w:pPr>
        <w:spacing w:after="60"/>
      </w:pPr>
      <w:r>
        <w:rPr>
          <w:rFonts w:ascii="Calibri" w:hAnsi="Calibri"/>
          <w:sz w:val="20"/>
        </w:rPr>
        <w:t xml:space="preserve">☐   </w:t>
      </w:r>
      <w:r>
        <w:rPr>
          <w:rFonts w:ascii="Calibri" w:hAnsi="Calibri"/>
          <w:sz w:val="20"/>
        </w:rPr>
        <w:t>Support administrators in changing access rules without redesigning the entire application.</w:t>
      </w:r>
    </w:p>
    <w:p>
      <w:pPr>
        <w:spacing w:after="60"/>
      </w:pPr>
      <w:r>
        <w:rPr>
          <w:rFonts w:ascii="Calibri" w:hAnsi="Calibri"/>
          <w:sz w:val="20"/>
        </w:rPr>
        <w:t xml:space="preserve">☐   </w:t>
      </w:r>
      <w:r>
        <w:rPr>
          <w:rFonts w:ascii="Calibri" w:hAnsi="Calibri"/>
          <w:sz w:val="20"/>
        </w:rPr>
        <w:t>Understand the current access-control situation and improve it for the target users.</w:t>
      </w:r>
    </w:p>
    <w:p>
      <w:pPr>
        <w:spacing w:after="200"/>
      </w:pPr>
    </w:p>
    <w:p>
      <w:pPr>
        <w:spacing w:after="120"/>
      </w:pPr>
      <w:r>
        <w:rPr>
          <w:rFonts w:ascii="Calibri" w:hAnsi="Calibri"/>
          <w:b/>
          <w:color w:val="1B365D"/>
          <w:sz w:val="22"/>
        </w:rPr>
        <w:t>Template: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CCCCCC"/>
          <w:bottom w:val="single" w:sz="4" w:space="0" w:color="CCCCCC"/>
          <w:insideH w:val="single" w:sz="4" w:space="0" w:color="CCCCCC"/>
          <w:insideV w:val="none"/>
          <w:left w:val="none"/>
          <w:right w:val="none"/>
        </w:tblBorders>
      </w:tblPr>
      <w:tblGrid>
        <w:gridCol w:w="3312"/>
        <w:gridCol w:w="3312"/>
        <w:gridCol w:w="3312"/>
      </w:tblGrid>
      <w:tr>
        <w:tc>
          <w:tcPr>
            <w:tcW w:type="dxa" w:w="3168"/>
            <w:shd w:fill="F9FAFB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r>
              <w:rPr>
                <w:rFonts w:ascii="Calibri" w:hAnsi="Calibri"/>
                <w:b/>
                <w:color w:val="1B365D"/>
                <w:sz w:val="18"/>
              </w:rPr>
              <w:t>1. CUSTOMER STATEMENTS</w:t>
              <w:br/>
            </w:r>
            <w:r>
              <w:rPr>
                <w:rFonts w:ascii="Calibri" w:hAnsi="Calibri"/>
                <w:sz w:val="17"/>
              </w:rPr>
              <w:t>Administrators need record access to follow business rules. Users expect to see only records they are authorized to view.</w:t>
            </w:r>
          </w:p>
        </w:tc>
        <w:tc>
          <w:tcPr>
            <w:tcW w:type="dxa" w:w="3312"/>
            <w:shd w:fill="F9FAFB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r>
              <w:rPr>
                <w:rFonts w:ascii="Calibri" w:hAnsi="Calibri"/>
                <w:b/>
                <w:color w:val="1B365D"/>
                <w:sz w:val="18"/>
              </w:rPr>
              <w:t>6. CUSTOMER CONSTRAINTS</w:t>
              <w:br/>
            </w:r>
            <w:r>
              <w:rPr>
                <w:rFonts w:ascii="Calibri" w:hAnsi="Calibri"/>
                <w:sz w:val="17"/>
              </w:rPr>
              <w:t>Existing applications may have many roles and records. Rules must work with current data, permissions and workflows without exposing restricted values.</w:t>
            </w:r>
          </w:p>
        </w:tc>
        <w:tc>
          <w:tcPr>
            <w:tcW w:type="dxa" w:w="3168"/>
            <w:shd w:fill="F9FAFB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r>
              <w:rPr>
                <w:rFonts w:ascii="Calibri" w:hAnsi="Calibri"/>
                <w:b/>
                <w:color w:val="1B365D"/>
                <w:sz w:val="18"/>
              </w:rPr>
              <w:t>5. AVAILABLE SOLUTIONS</w:t>
              <w:br/>
            </w:r>
            <w:r>
              <w:rPr>
                <w:rFonts w:ascii="Calibri" w:hAnsi="Calibri"/>
                <w:sz w:val="17"/>
              </w:rPr>
              <w:t>Role-based access, record ACLs and script-based conditions can be combined to evaluate a record field before granting access.</w:t>
            </w:r>
          </w:p>
        </w:tc>
      </w:tr>
      <w:tr>
        <w:tc>
          <w:tcPr>
            <w:tcW w:type="dxa" w:w="3168"/>
            <w:shd w:fill="F9FAFB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r>
              <w:rPr>
                <w:rFonts w:ascii="Calibri" w:hAnsi="Calibri"/>
                <w:b/>
                <w:color w:val="1B365D"/>
                <w:sz w:val="18"/>
              </w:rPr>
              <w:t>2. JOBS TO BE DONE / PROBLEMS</w:t>
              <w:br/>
            </w:r>
            <w:r>
              <w:rPr>
                <w:rFonts w:ascii="Calibri" w:hAnsi="Calibri"/>
                <w:sz w:val="17"/>
              </w:rPr>
              <w:t>Restrict records according to a field value; allow matching users to access records; prevent non-matching users from viewing protected records.</w:t>
            </w:r>
          </w:p>
        </w:tc>
        <w:tc>
          <w:tcPr>
            <w:tcW w:type="dxa" w:w="3312"/>
            <w:shd w:fill="F9FAFB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r>
              <w:rPr>
                <w:rFonts w:ascii="Calibri" w:hAnsi="Calibri"/>
                <w:b/>
                <w:color w:val="1B365D"/>
                <w:sz w:val="18"/>
              </w:rPr>
              <w:t>9. PROBLEM ROOT CAUSE</w:t>
              <w:br/>
            </w:r>
            <w:r>
              <w:rPr>
                <w:rFonts w:ascii="Calibri" w:hAnsi="Calibri"/>
                <w:sz w:val="17"/>
              </w:rPr>
              <w:t>Static or broad permissions do not always reflect record-level business conditions. Access may depend on a field value that must be evaluated dynamically.</w:t>
            </w:r>
          </w:p>
        </w:tc>
        <w:tc>
          <w:tcPr>
            <w:tcW w:type="dxa" w:w="3168"/>
            <w:shd w:fill="F9FAFB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r>
              <w:rPr>
                <w:rFonts w:ascii="Calibri" w:hAnsi="Calibri"/>
                <w:b/>
                <w:color w:val="1B365D"/>
                <w:sz w:val="18"/>
              </w:rPr>
              <w:t>7. BEHAVIOUR</w:t>
              <w:br/>
            </w:r>
            <w:r>
              <w:rPr>
                <w:rFonts w:ascii="Calibri" w:hAnsi="Calibri"/>
                <w:sz w:val="17"/>
              </w:rPr>
              <w:t>Users request records normally. The system evaluates identity, role and the configured field value; access is allowed only when the ACL condition is satisfied.</w:t>
            </w:r>
          </w:p>
        </w:tc>
      </w:tr>
      <w:tr>
        <w:tc>
          <w:tcPr>
            <w:tcW w:type="dxa" w:w="3168"/>
            <w:shd w:fill="F9FAFB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r>
              <w:rPr>
                <w:rFonts w:ascii="Calibri" w:hAnsi="Calibri"/>
                <w:b/>
                <w:color w:val="1B365D"/>
                <w:sz w:val="18"/>
              </w:rPr>
              <w:t>3. TRIGGERS</w:t>
              <w:br/>
            </w:r>
            <w:r>
              <w:rPr>
                <w:rFonts w:ascii="Calibri" w:hAnsi="Calibri"/>
                <w:sz w:val="17"/>
              </w:rPr>
              <w:t>A user opens, searches for or requests a record. The ACL is triggered when the application checks whether the user can access that record.</w:t>
            </w:r>
          </w:p>
        </w:tc>
        <w:tc>
          <w:tcPr>
            <w:tcW w:type="dxa" w:w="3312"/>
            <w:shd w:fill="F9FAFB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r>
              <w:rPr>
                <w:rFonts w:ascii="Calibri" w:hAnsi="Calibri"/>
                <w:b/>
                <w:color w:val="1B365D"/>
                <w:sz w:val="18"/>
              </w:rPr>
              <w:t>4. EMOTIONS: BEFORE / AFTER</w:t>
              <w:br/>
            </w:r>
            <w:r>
              <w:rPr>
                <w:rFonts w:ascii="Calibri" w:hAnsi="Calibri"/>
                <w:sz w:val="17"/>
              </w:rPr>
              <w:t>Before: uncertainty, concern about accidental exposure and frustration with inconsistent access. After: confidence that records are protected and access rules are predictable.</w:t>
            </w:r>
          </w:p>
        </w:tc>
        <w:tc>
          <w:tcPr>
            <w:tcW w:type="dxa" w:w="3168"/>
            <w:shd w:fill="F9FAFB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r>
              <w:rPr>
                <w:rFonts w:ascii="Calibri" w:hAnsi="Calibri"/>
                <w:b/>
                <w:color w:val="1B365D"/>
                <w:sz w:val="18"/>
              </w:rPr>
              <w:t>10. VALUE INTENTION</w:t>
              <w:br/>
            </w:r>
            <w:r>
              <w:rPr>
                <w:rFonts w:ascii="Calibri" w:hAnsi="Calibri"/>
                <w:sz w:val="17"/>
              </w:rPr>
              <w:t>Provide secure, field-aware record access while keeping authorization logic maintainable, testable and auditable.</w:t>
            </w:r>
          </w:p>
        </w:tc>
      </w:tr>
      <w:tr>
        <w:tc>
          <w:tcPr>
            <w:tcW w:type="dxa" w:w="3168"/>
            <w:shd w:fill="F9FAFB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r>
              <w:rPr>
                <w:rFonts w:ascii="Calibri" w:hAnsi="Calibri"/>
                <w:b/>
                <w:color w:val="1B365D"/>
                <w:sz w:val="18"/>
              </w:rPr>
              <w:t>8. CHANNELS OF BEHAVIOUR</w:t>
              <w:br/>
            </w:r>
            <w:r>
              <w:rPr>
                <w:rFonts w:ascii="Calibri" w:hAnsi="Calibri"/>
                <w:sz w:val="17"/>
              </w:rPr>
              <w:t>Web application, record forms, list views, search results and other application interfaces where record access is requested.</w:t>
            </w:r>
          </w:p>
        </w:tc>
        <w:tc>
          <w:tcPr>
            <w:tcW w:type="dxa" w:w="3312"/>
            <w:shd w:fill="FFFFFF"/>
          </w:tcPr>
          <w:p/>
        </w:tc>
        <w:tc>
          <w:tcPr>
            <w:tcW w:type="dxa" w:w="3168"/>
            <w:shd w:fill="FFFFFF"/>
          </w:tcPr>
          <w:p/>
        </w:tc>
      </w:tr>
    </w:tbl>
    <w:p>
      <w:pPr>
        <w:spacing w:after="240"/>
      </w:pPr>
    </w:p>
    <w:p>
      <w:pPr>
        <w:spacing w:after="80"/>
      </w:pPr>
      <w:r>
        <w:rPr>
          <w:rFonts w:ascii="Calibri" w:hAnsi="Calibri"/>
          <w:b/>
          <w:sz w:val="21"/>
        </w:rPr>
        <w:t>References:</w:t>
      </w:r>
    </w:p>
    <w:p>
      <w:pPr>
        <w:spacing w:after="40"/>
      </w:pPr>
      <w:r>
        <w:rPr>
          <w:sz w:val="18"/>
        </w:rPr>
        <w:t xml:space="preserve">1.  </w:t>
      </w:r>
      <w:r>
        <w:rPr>
          <w:i/>
          <w:color w:val="0066CC"/>
          <w:sz w:val="18"/>
        </w:rPr>
        <w:t>https://www.ideahackers.network/problem-solution-fit-canvas/</w:t>
      </w:r>
    </w:p>
    <w:p>
      <w:pPr>
        <w:spacing w:after="40"/>
      </w:pPr>
      <w:r>
        <w:rPr>
          <w:sz w:val="18"/>
        </w:rPr>
        <w:t xml:space="preserve">2.  </w:t>
      </w:r>
      <w:r>
        <w:rPr>
          <w:i/>
          <w:color w:val="0066CC"/>
          <w:sz w:val="18"/>
        </w:rPr>
        <w:t>https://medium.com/@epicantus/problem-solution-fit-canvas-aa3dd59cb4fe</w:t>
      </w:r>
    </w:p>
    <w:sectPr w:rsidR="00FC693F" w:rsidRPr="0006063C" w:rsidSect="00034616">
      <w:pgSz w:w="12240" w:h="15840"/>
      <w:pgMar w:top="1152" w:right="1152" w:bottom="1152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