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Calibri" w:hAnsi="Calibri"/>
          <w:b/>
          <w:color w:val="646464"/>
          <w:sz w:val="24"/>
        </w:rPr>
        <w:t>Project Design Phase</w:t>
        <w:br/>
      </w:r>
      <w:r>
        <w:rPr>
          <w:rFonts w:ascii="Calibri" w:hAnsi="Calibri"/>
          <w:b/>
          <w:color w:val="1B365D"/>
          <w:sz w:val="40"/>
        </w:rPr>
        <w:t>Proposed Solution Template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968"/>
        <w:gridCol w:w="4968"/>
      </w:tblGrid>
      <w:tr>
        <w:tc>
          <w:tcPr>
            <w:tcW w:type="dxa" w:w="3168"/>
            <w:shd w:fill="F2F4F7"/>
            <w:tcMar>
              <w:top w:w="80" w:type="dxa"/>
              <w:bottom w:w="80" w:type="dxa"/>
              <w:left w:w="120" w:type="dxa"/>
              <w:right w:w="120" w:type="dxa"/>
            </w:tcMar>
          </w:tcPr>
          <w:p>
            <w:r>
              <w:rPr>
                <w:rFonts w:ascii="Calibri" w:hAnsi="Calibri"/>
                <w:b/>
                <w:sz w:val="20"/>
              </w:rPr>
              <w:t>Date</w:t>
            </w:r>
          </w:p>
        </w:tc>
        <w:tc>
          <w:tcPr>
            <w:tcW w:type="dxa" w:w="6480"/>
            <w:tcMar>
              <w:top w:w="80" w:type="dxa"/>
              <w:bottom w:w="80" w:type="dxa"/>
              <w:left w:w="120" w:type="dxa"/>
              <w:right w:w="120" w:type="dxa"/>
            </w:tcMar>
          </w:tcPr>
          <w:p>
            <w:r>
              <w:rPr>
                <w:rFonts w:ascii="Calibri" w:hAnsi="Calibri"/>
                <w:sz w:val="20"/>
              </w:rPr>
              <w:t>29 September 2026</w:t>
            </w:r>
          </w:p>
        </w:tc>
      </w:tr>
      <w:tr>
        <w:tc>
          <w:tcPr>
            <w:tcW w:type="dxa" w:w="3168"/>
            <w:shd w:fill="F2F4F7"/>
            <w:tcMar>
              <w:top w:w="80" w:type="dxa"/>
              <w:bottom w:w="80" w:type="dxa"/>
              <w:left w:w="120" w:type="dxa"/>
              <w:right w:w="120" w:type="dxa"/>
            </w:tcMar>
          </w:tcPr>
          <w:p>
            <w:r>
              <w:rPr>
                <w:rFonts w:ascii="Calibri" w:hAnsi="Calibri"/>
                <w:b/>
                <w:sz w:val="20"/>
              </w:rPr>
              <w:t>Team ID</w:t>
            </w:r>
          </w:p>
        </w:tc>
        <w:tc>
          <w:tcPr>
            <w:tcW w:type="dxa" w:w="6480"/>
            <w:tcMar>
              <w:top w:w="80" w:type="dxa"/>
              <w:bottom w:w="80" w:type="dxa"/>
              <w:left w:w="120" w:type="dxa"/>
              <w:right w:w="120" w:type="dxa"/>
            </w:tcMar>
          </w:tcPr>
          <w:p>
            <w:r>
              <w:rPr>
                <w:rFonts w:ascii="Calibri" w:hAnsi="Calibri"/>
                <w:sz w:val="20"/>
              </w:rPr>
              <w:t>SWTID-2026-9791</w:t>
            </w:r>
          </w:p>
        </w:tc>
      </w:tr>
      <w:tr>
        <w:tc>
          <w:tcPr>
            <w:tcW w:type="dxa" w:w="3168"/>
            <w:shd w:fill="F2F4F7"/>
            <w:tcMar>
              <w:top w:w="80" w:type="dxa"/>
              <w:bottom w:w="80" w:type="dxa"/>
              <w:left w:w="120" w:type="dxa"/>
              <w:right w:w="120" w:type="dxa"/>
            </w:tcMar>
          </w:tcPr>
          <w:p>
            <w:r>
              <w:rPr>
                <w:rFonts w:ascii="Calibri" w:hAnsi="Calibri"/>
                <w:b/>
                <w:sz w:val="20"/>
              </w:rPr>
              <w:t>Project Name</w:t>
            </w:r>
          </w:p>
        </w:tc>
        <w:tc>
          <w:tcPr>
            <w:tcW w:type="dxa" w:w="6480"/>
            <w:tcMar>
              <w:top w:w="80" w:type="dxa"/>
              <w:bottom w:w="80" w:type="dxa"/>
              <w:left w:w="120" w:type="dxa"/>
              <w:right w:w="120" w:type="dxa"/>
            </w:tcMar>
          </w:tcPr>
          <w:p>
            <w:r>
              <w:rPr>
                <w:rFonts w:ascii="Calibri" w:hAnsi="Calibri"/>
                <w:sz w:val="20"/>
              </w:rPr>
              <w:t>Streamlining IT Procurement: Automating Standard Laptop Orders with Flow Designer</w:t>
            </w:r>
          </w:p>
        </w:tc>
      </w:tr>
      <w:tr>
        <w:tc>
          <w:tcPr>
            <w:tcW w:type="dxa" w:w="3168"/>
            <w:shd w:fill="F2F4F7"/>
            <w:tcMar>
              <w:top w:w="80" w:type="dxa"/>
              <w:bottom w:w="80" w:type="dxa"/>
              <w:left w:w="120" w:type="dxa"/>
              <w:right w:w="120" w:type="dxa"/>
            </w:tcMar>
          </w:tcPr>
          <w:p>
            <w:r>
              <w:rPr>
                <w:rFonts w:ascii="Calibri" w:hAnsi="Calibri"/>
                <w:b/>
                <w:sz w:val="20"/>
              </w:rPr>
              <w:t>Maximum Marks</w:t>
            </w:r>
          </w:p>
        </w:tc>
        <w:tc>
          <w:tcPr>
            <w:tcW w:type="dxa" w:w="6480"/>
            <w:tcMar>
              <w:top w:w="80" w:type="dxa"/>
              <w:bottom w:w="80" w:type="dxa"/>
              <w:left w:w="120" w:type="dxa"/>
              <w:right w:w="120" w:type="dxa"/>
            </w:tcMar>
          </w:tcPr>
          <w:p>
            <w:r>
              <w:rPr>
                <w:rFonts w:ascii="Calibri" w:hAnsi="Calibri"/>
                <w:sz w:val="20"/>
              </w:rPr>
              <w:t>2 Marks</w:t>
            </w:r>
          </w:p>
        </w:tc>
      </w:tr>
      <w:tr>
        <w:tc>
          <w:tcPr>
            <w:tcW w:type="dxa" w:w="3168"/>
            <w:shd w:fill="F2F4F7"/>
            <w:tcMar>
              <w:top w:w="80" w:type="dxa"/>
              <w:bottom w:w="80" w:type="dxa"/>
              <w:left w:w="120" w:type="dxa"/>
              <w:right w:w="120" w:type="dxa"/>
            </w:tcMar>
          </w:tcPr>
          <w:p>
            <w:r>
              <w:rPr>
                <w:rFonts w:ascii="Calibri" w:hAnsi="Calibri"/>
                <w:b/>
                <w:sz w:val="20"/>
              </w:rPr>
              <w:t>Team Size</w:t>
            </w:r>
          </w:p>
        </w:tc>
        <w:tc>
          <w:tcPr>
            <w:tcW w:type="dxa" w:w="6480"/>
            <w:tcMar>
              <w:top w:w="80" w:type="dxa"/>
              <w:bottom w:w="80" w:type="dxa"/>
              <w:left w:w="120" w:type="dxa"/>
              <w:right w:w="120" w:type="dxa"/>
            </w:tcMar>
          </w:tcPr>
          <w:p>
            <w:r>
              <w:rPr>
                <w:rFonts w:ascii="Calibri" w:hAnsi="Calibri"/>
                <w:sz w:val="20"/>
              </w:rPr>
              <w:t>3</w:t>
            </w:r>
          </w:p>
        </w:tc>
      </w:tr>
      <w:tr>
        <w:tc>
          <w:tcPr>
            <w:tcW w:type="dxa" w:w="3168"/>
            <w:shd w:fill="F2F4F7"/>
            <w:tcMar>
              <w:top w:w="80" w:type="dxa"/>
              <w:bottom w:w="80" w:type="dxa"/>
              <w:left w:w="120" w:type="dxa"/>
              <w:right w:w="120" w:type="dxa"/>
            </w:tcMar>
          </w:tcPr>
          <w:p>
            <w:r>
              <w:rPr>
                <w:rFonts w:ascii="Calibri" w:hAnsi="Calibri"/>
                <w:b/>
                <w:sz w:val="20"/>
              </w:rPr>
              <w:t>Team Leader</w:t>
            </w:r>
          </w:p>
        </w:tc>
        <w:tc>
          <w:tcPr>
            <w:tcW w:type="dxa" w:w="6480"/>
            <w:tcMar>
              <w:top w:w="80" w:type="dxa"/>
              <w:bottom w:w="80" w:type="dxa"/>
              <w:left w:w="120" w:type="dxa"/>
              <w:right w:w="120" w:type="dxa"/>
            </w:tcMar>
          </w:tcPr>
          <w:p>
            <w:r>
              <w:rPr>
                <w:rFonts w:ascii="Calibri" w:hAnsi="Calibri"/>
                <w:sz w:val="20"/>
              </w:rPr>
              <w:t>MONIKA S</w:t>
            </w:r>
          </w:p>
        </w:tc>
      </w:tr>
      <w:tr>
        <w:tc>
          <w:tcPr>
            <w:tcW w:type="dxa" w:w="3168"/>
            <w:shd w:fill="F2F4F7"/>
            <w:tcMar>
              <w:top w:w="80" w:type="dxa"/>
              <w:bottom w:w="80" w:type="dxa"/>
              <w:left w:w="120" w:type="dxa"/>
              <w:right w:w="120" w:type="dxa"/>
            </w:tcMar>
          </w:tcPr>
          <w:p>
            <w:r>
              <w:rPr>
                <w:rFonts w:ascii="Calibri" w:hAnsi="Calibri"/>
                <w:b/>
                <w:sz w:val="20"/>
              </w:rPr>
              <w:t>Team Member</w:t>
            </w:r>
          </w:p>
        </w:tc>
        <w:tc>
          <w:tcPr>
            <w:tcW w:type="dxa" w:w="6480"/>
            <w:tcMar>
              <w:top w:w="80" w:type="dxa"/>
              <w:bottom w:w="80" w:type="dxa"/>
              <w:left w:w="120" w:type="dxa"/>
              <w:right w:w="120" w:type="dxa"/>
            </w:tcMar>
          </w:tcPr>
          <w:p>
            <w:r>
              <w:rPr>
                <w:rFonts w:ascii="Calibri" w:hAnsi="Calibri"/>
                <w:sz w:val="20"/>
              </w:rPr>
              <w:t>PREETHA S</w:t>
            </w:r>
          </w:p>
        </w:tc>
      </w:tr>
      <w:tr>
        <w:tc>
          <w:tcPr>
            <w:tcW w:type="dxa" w:w="3168"/>
            <w:shd w:fill="F2F4F7"/>
            <w:tcMar>
              <w:top w:w="80" w:type="dxa"/>
              <w:bottom w:w="80" w:type="dxa"/>
              <w:left w:w="120" w:type="dxa"/>
              <w:right w:w="120" w:type="dxa"/>
            </w:tcMar>
          </w:tcPr>
          <w:p>
            <w:r>
              <w:rPr>
                <w:rFonts w:ascii="Calibri" w:hAnsi="Calibri"/>
                <w:b/>
                <w:sz w:val="20"/>
              </w:rPr>
              <w:t>Team Member</w:t>
            </w:r>
          </w:p>
        </w:tc>
        <w:tc>
          <w:tcPr>
            <w:tcW w:type="dxa" w:w="6480"/>
            <w:tcMar>
              <w:top w:w="80" w:type="dxa"/>
              <w:bottom w:w="80" w:type="dxa"/>
              <w:left w:w="120" w:type="dxa"/>
              <w:right w:w="120" w:type="dxa"/>
            </w:tcMar>
          </w:tcPr>
          <w:p>
            <w:r>
              <w:rPr>
                <w:rFonts w:ascii="Calibri" w:hAnsi="Calibri"/>
                <w:sz w:val="20"/>
              </w:rPr>
              <w:t>RANJANI DEVI M</w:t>
            </w:r>
          </w:p>
        </w:tc>
      </w:tr>
    </w:tbl>
    <w:p>
      <w:pPr>
        <w:spacing w:after="240"/>
      </w:pPr>
    </w:p>
    <w:p>
      <w:pPr>
        <w:spacing w:after="120"/>
      </w:pPr>
      <w:r>
        <w:rPr>
          <w:rFonts w:ascii="Calibri" w:hAnsi="Calibri"/>
          <w:b/>
          <w:color w:val="1B365D"/>
          <w:sz w:val="24"/>
        </w:rPr>
        <w:t>Proposed Solution Template:</w:t>
      </w:r>
    </w:p>
    <w:p>
      <w:pPr>
        <w:spacing w:after="200"/>
      </w:pPr>
      <w:r>
        <w:t>Project team shall fill the following information in the proposed solution template.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312"/>
        <w:gridCol w:w="3312"/>
        <w:gridCol w:w="3312"/>
      </w:tblGrid>
      <w:tr>
        <w:tc>
          <w:tcPr>
            <w:tcW w:type="dxa" w:w="864"/>
            <w:shd w:fill="1B365D"/>
            <w:tcMar>
              <w:top w:w="80" w:type="dxa"/>
              <w:bottom w:w="80" w:type="dxa"/>
              <w:left w:w="80" w:type="dxa"/>
              <w:right w:w="80" w:type="dxa"/>
            </w:tcMar>
          </w:tcPr>
          <w:p>
            <w:r>
              <w:rPr>
                <w:rFonts w:ascii="Calibri" w:hAnsi="Calibri"/>
                <w:b/>
                <w:color w:val="FFFFFF"/>
                <w:sz w:val="19"/>
              </w:rPr>
              <w:t>S.No.</w:t>
            </w:r>
          </w:p>
        </w:tc>
        <w:tc>
          <w:tcPr>
            <w:tcW w:type="dxa" w:w="3312"/>
            <w:shd w:fill="1B365D"/>
            <w:tcMar>
              <w:top w:w="80" w:type="dxa"/>
              <w:bottom w:w="80" w:type="dxa"/>
              <w:left w:w="80" w:type="dxa"/>
              <w:right w:w="80" w:type="dxa"/>
            </w:tcMar>
          </w:tcPr>
          <w:p>
            <w:r>
              <w:rPr>
                <w:rFonts w:ascii="Calibri" w:hAnsi="Calibri"/>
                <w:b/>
                <w:color w:val="FFFFFF"/>
                <w:sz w:val="19"/>
              </w:rPr>
              <w:t>Parameter</w:t>
            </w:r>
          </w:p>
        </w:tc>
        <w:tc>
          <w:tcPr>
            <w:tcW w:type="dxa" w:w="5472"/>
            <w:shd w:fill="1B365D"/>
            <w:tcMar>
              <w:top w:w="80" w:type="dxa"/>
              <w:bottom w:w="80" w:type="dxa"/>
              <w:left w:w="80" w:type="dxa"/>
              <w:right w:w="80" w:type="dxa"/>
            </w:tcMar>
          </w:tcPr>
          <w:p>
            <w:r>
              <w:rPr>
                <w:rFonts w:ascii="Calibri" w:hAnsi="Calibri"/>
                <w:b/>
                <w:color w:val="FFFFFF"/>
                <w:sz w:val="19"/>
              </w:rPr>
              <w:t>Description</w:t>
            </w:r>
          </w:p>
        </w:tc>
      </w:tr>
      <w:tr>
        <w:tc>
          <w:tcPr>
            <w:tcW w:type="dxa" w:w="864"/>
            <w:tcMar>
              <w:top w:w="60" w:type="dxa"/>
              <w:bottom w:w="60" w:type="dxa"/>
              <w:left w:w="80" w:type="dxa"/>
              <w:right w:w="80" w:type="dxa"/>
            </w:tcMar>
          </w:tcPr>
          <w:p>
            <w:r>
              <w:rPr>
                <w:rFonts w:ascii="Calibri" w:hAnsi="Calibri"/>
                <w:b/>
                <w:sz w:val="18"/>
              </w:rPr>
              <w:t>1.</w:t>
            </w:r>
          </w:p>
        </w:tc>
        <w:tc>
          <w:tcPr>
            <w:tcW w:type="dxa" w:w="3312"/>
            <w:tcMar>
              <w:top w:w="60" w:type="dxa"/>
              <w:bottom w:w="60" w:type="dxa"/>
              <w:left w:w="80" w:type="dxa"/>
              <w:right w:w="80" w:type="dxa"/>
            </w:tcMar>
          </w:tcPr>
          <w:p>
            <w:r>
              <w:rPr>
                <w:rFonts w:ascii="Calibri" w:hAnsi="Calibri"/>
                <w:b/>
                <w:sz w:val="18"/>
              </w:rPr>
              <w:t>Problem Statement (Problem to be solved)</w:t>
            </w:r>
          </w:p>
        </w:tc>
        <w:tc>
          <w:tcPr>
            <w:tcW w:type="dxa" w:w="5472"/>
            <w:tcMar>
              <w:top w:w="60" w:type="dxa"/>
              <w:bottom w:w="60" w:type="dxa"/>
              <w:left w:w="80" w:type="dxa"/>
              <w:right w:w="80" w:type="dxa"/>
            </w:tcMar>
          </w:tcPr>
          <w:p>
            <w:r>
              <w:rPr>
                <w:rFonts w:ascii="Calibri" w:hAnsi="Calibri"/>
                <w:sz w:val="18"/>
              </w:rPr>
              <w:t>Organizations need to restrict access to individual records based on a field value. Static role permissions alone may allow users to see records outside their assigned region, department, category or ownership value.</w:t>
            </w:r>
          </w:p>
        </w:tc>
      </w:tr>
      <w:tr>
        <w:tc>
          <w:tcPr>
            <w:tcW w:type="dxa" w:w="864"/>
            <w:tcMar>
              <w:top w:w="60" w:type="dxa"/>
              <w:bottom w:w="60" w:type="dxa"/>
              <w:left w:w="80" w:type="dxa"/>
              <w:right w:w="80" w:type="dxa"/>
            </w:tcMar>
            <w:shd w:fill="F9FAFB"/>
          </w:tcPr>
          <w:p>
            <w:r>
              <w:rPr>
                <w:rFonts w:ascii="Calibri" w:hAnsi="Calibri"/>
                <w:b/>
                <w:sz w:val="18"/>
              </w:rPr>
              <w:t>2.</w:t>
            </w:r>
          </w:p>
        </w:tc>
        <w:tc>
          <w:tcPr>
            <w:tcW w:type="dxa" w:w="3312"/>
            <w:tcMar>
              <w:top w:w="60" w:type="dxa"/>
              <w:bottom w:w="60" w:type="dxa"/>
              <w:left w:w="80" w:type="dxa"/>
              <w:right w:w="80" w:type="dxa"/>
            </w:tcMar>
            <w:shd w:fill="F9FAFB"/>
          </w:tcPr>
          <w:p>
            <w:r>
              <w:rPr>
                <w:rFonts w:ascii="Calibri" w:hAnsi="Calibri"/>
                <w:b/>
                <w:sz w:val="18"/>
              </w:rPr>
              <w:t>Idea / Solution description</w:t>
            </w:r>
          </w:p>
        </w:tc>
        <w:tc>
          <w:tcPr>
            <w:tcW w:type="dxa" w:w="5472"/>
            <w:tcMar>
              <w:top w:w="60" w:type="dxa"/>
              <w:bottom w:w="60" w:type="dxa"/>
              <w:left w:w="80" w:type="dxa"/>
              <w:right w:w="80" w:type="dxa"/>
            </w:tcMar>
            <w:shd w:fill="F9FAFB"/>
          </w:tcPr>
          <w:p>
            <w:r>
              <w:rPr>
                <w:rFonts w:ascii="Calibri" w:hAnsi="Calibri"/>
                <w:sz w:val="18"/>
              </w:rPr>
              <w:t>Implement a Script-Controlled ACL that evaluates the requested record's field value together with the current user's role or permitted value. The script returns Allow when the condition matches and Deny when it does not.</w:t>
            </w:r>
          </w:p>
        </w:tc>
      </w:tr>
      <w:tr>
        <w:tc>
          <w:tcPr>
            <w:tcW w:type="dxa" w:w="864"/>
            <w:tcMar>
              <w:top w:w="60" w:type="dxa"/>
              <w:bottom w:w="60" w:type="dxa"/>
              <w:left w:w="80" w:type="dxa"/>
              <w:right w:w="80" w:type="dxa"/>
            </w:tcMar>
          </w:tcPr>
          <w:p>
            <w:r>
              <w:rPr>
                <w:rFonts w:ascii="Calibri" w:hAnsi="Calibri"/>
                <w:b/>
                <w:sz w:val="18"/>
              </w:rPr>
              <w:t>3.</w:t>
            </w:r>
          </w:p>
        </w:tc>
        <w:tc>
          <w:tcPr>
            <w:tcW w:type="dxa" w:w="3312"/>
            <w:tcMar>
              <w:top w:w="60" w:type="dxa"/>
              <w:bottom w:w="60" w:type="dxa"/>
              <w:left w:w="80" w:type="dxa"/>
              <w:right w:w="80" w:type="dxa"/>
            </w:tcMar>
          </w:tcPr>
          <w:p>
            <w:r>
              <w:rPr>
                <w:rFonts w:ascii="Calibri" w:hAnsi="Calibri"/>
                <w:b/>
                <w:sz w:val="18"/>
              </w:rPr>
              <w:t>Novelty / Uniqueness</w:t>
            </w:r>
          </w:p>
        </w:tc>
        <w:tc>
          <w:tcPr>
            <w:tcW w:type="dxa" w:w="5472"/>
            <w:tcMar>
              <w:top w:w="60" w:type="dxa"/>
              <w:bottom w:w="60" w:type="dxa"/>
              <w:left w:w="80" w:type="dxa"/>
              <w:right w:w="80" w:type="dxa"/>
            </w:tcMar>
          </w:tcPr>
          <w:p>
            <w:r>
              <w:rPr>
                <w:rFonts w:ascii="Calibri" w:hAnsi="Calibri"/>
                <w:sz w:val="18"/>
              </w:rPr>
              <w:t>The solution provides dynamic, field-level record access using scripted conditions instead of relying only on fixed roles. Access rules can be adapted to different business fields and requirements.</w:t>
            </w:r>
          </w:p>
        </w:tc>
      </w:tr>
      <w:tr>
        <w:tc>
          <w:tcPr>
            <w:tcW w:type="dxa" w:w="864"/>
            <w:tcMar>
              <w:top w:w="60" w:type="dxa"/>
              <w:bottom w:w="60" w:type="dxa"/>
              <w:left w:w="80" w:type="dxa"/>
              <w:right w:w="80" w:type="dxa"/>
            </w:tcMar>
            <w:shd w:fill="F9FAFB"/>
          </w:tcPr>
          <w:p>
            <w:r>
              <w:rPr>
                <w:rFonts w:ascii="Calibri" w:hAnsi="Calibri"/>
                <w:b/>
                <w:sz w:val="18"/>
              </w:rPr>
              <w:t>4.</w:t>
            </w:r>
          </w:p>
        </w:tc>
        <w:tc>
          <w:tcPr>
            <w:tcW w:type="dxa" w:w="3312"/>
            <w:tcMar>
              <w:top w:w="60" w:type="dxa"/>
              <w:bottom w:w="60" w:type="dxa"/>
              <w:left w:w="80" w:type="dxa"/>
              <w:right w:w="80" w:type="dxa"/>
            </w:tcMar>
            <w:shd w:fill="F9FAFB"/>
          </w:tcPr>
          <w:p>
            <w:r>
              <w:rPr>
                <w:rFonts w:ascii="Calibri" w:hAnsi="Calibri"/>
                <w:b/>
                <w:sz w:val="18"/>
              </w:rPr>
              <w:t>Social Impact / Customer Satisfaction</w:t>
            </w:r>
          </w:p>
        </w:tc>
        <w:tc>
          <w:tcPr>
            <w:tcW w:type="dxa" w:w="5472"/>
            <w:tcMar>
              <w:top w:w="60" w:type="dxa"/>
              <w:bottom w:w="60" w:type="dxa"/>
              <w:left w:w="80" w:type="dxa"/>
              <w:right w:w="80" w:type="dxa"/>
            </w:tcMar>
            <w:shd w:fill="F9FAFB"/>
          </w:tcPr>
          <w:p>
            <w:r>
              <w:rPr>
                <w:rFonts w:ascii="Calibri" w:hAnsi="Calibri"/>
                <w:sz w:val="18"/>
              </w:rPr>
              <w:t>Improves data privacy and user confidence by preventing unauthorized record visibility. Administrators get clearer control over sensitive information while users receive consistent access decisions.</w:t>
            </w:r>
          </w:p>
        </w:tc>
      </w:tr>
      <w:tr>
        <w:tc>
          <w:tcPr>
            <w:tcW w:type="dxa" w:w="864"/>
            <w:tcMar>
              <w:top w:w="60" w:type="dxa"/>
              <w:bottom w:w="60" w:type="dxa"/>
              <w:left w:w="80" w:type="dxa"/>
              <w:right w:w="80" w:type="dxa"/>
            </w:tcMar>
          </w:tcPr>
          <w:p>
            <w:r>
              <w:rPr>
                <w:rFonts w:ascii="Calibri" w:hAnsi="Calibri"/>
                <w:b/>
                <w:sz w:val="18"/>
              </w:rPr>
              <w:t>5.</w:t>
            </w:r>
          </w:p>
        </w:tc>
        <w:tc>
          <w:tcPr>
            <w:tcW w:type="dxa" w:w="3312"/>
            <w:tcMar>
              <w:top w:w="60" w:type="dxa"/>
              <w:bottom w:w="60" w:type="dxa"/>
              <w:left w:w="80" w:type="dxa"/>
              <w:right w:w="80" w:type="dxa"/>
            </w:tcMar>
          </w:tcPr>
          <w:p>
            <w:r>
              <w:rPr>
                <w:rFonts w:ascii="Calibri" w:hAnsi="Calibri"/>
                <w:b/>
                <w:sz w:val="18"/>
              </w:rPr>
              <w:t>Business Model (Revenue Model)</w:t>
            </w:r>
          </w:p>
        </w:tc>
        <w:tc>
          <w:tcPr>
            <w:tcW w:type="dxa" w:w="5472"/>
            <w:tcMar>
              <w:top w:w="60" w:type="dxa"/>
              <w:bottom w:w="60" w:type="dxa"/>
              <w:left w:w="80" w:type="dxa"/>
              <w:right w:w="80" w:type="dxa"/>
            </w:tcMar>
          </w:tcPr>
          <w:p>
            <w:r>
              <w:rPr>
                <w:rFonts w:ascii="Calibri" w:hAnsi="Calibri"/>
                <w:sz w:val="18"/>
              </w:rPr>
              <w:t>Suitable as an enterprise security feature or internal IT solution. It can be delivered through implementation, customization, maintenance and security-support services for organizations.</w:t>
            </w:r>
          </w:p>
        </w:tc>
      </w:tr>
      <w:tr>
        <w:tc>
          <w:tcPr>
            <w:tcW w:type="dxa" w:w="864"/>
            <w:tcMar>
              <w:top w:w="60" w:type="dxa"/>
              <w:bottom w:w="60" w:type="dxa"/>
              <w:left w:w="80" w:type="dxa"/>
              <w:right w:w="80" w:type="dxa"/>
            </w:tcMar>
            <w:shd w:fill="F9FAFB"/>
          </w:tcPr>
          <w:p>
            <w:r>
              <w:rPr>
                <w:rFonts w:ascii="Calibri" w:hAnsi="Calibri"/>
                <w:b/>
                <w:sz w:val="18"/>
              </w:rPr>
              <w:t>6.</w:t>
            </w:r>
          </w:p>
        </w:tc>
        <w:tc>
          <w:tcPr>
            <w:tcW w:type="dxa" w:w="3312"/>
            <w:tcMar>
              <w:top w:w="60" w:type="dxa"/>
              <w:bottom w:w="60" w:type="dxa"/>
              <w:left w:w="80" w:type="dxa"/>
              <w:right w:w="80" w:type="dxa"/>
            </w:tcMar>
            <w:shd w:fill="F9FAFB"/>
          </w:tcPr>
          <w:p>
            <w:r>
              <w:rPr>
                <w:rFonts w:ascii="Calibri" w:hAnsi="Calibri"/>
                <w:b/>
                <w:sz w:val="18"/>
              </w:rPr>
              <w:t>Scalability of the Solution</w:t>
            </w:r>
          </w:p>
        </w:tc>
        <w:tc>
          <w:tcPr>
            <w:tcW w:type="dxa" w:w="5472"/>
            <w:tcMar>
              <w:top w:w="60" w:type="dxa"/>
              <w:bottom w:w="60" w:type="dxa"/>
              <w:left w:w="80" w:type="dxa"/>
              <w:right w:w="80" w:type="dxa"/>
            </w:tcMar>
            <w:shd w:fill="F9FAFB"/>
          </w:tcPr>
          <w:p>
            <w:r>
              <w:rPr>
                <w:rFonts w:ascii="Calibri" w:hAnsi="Calibri"/>
                <w:sz w:val="18"/>
              </w:rPr>
              <w:t>The same ACL approach can be extended to multiple tables, fields, departments, regions, roles and business rules. New conditions can be added through maintainable scripts and configuration without redesigning the complete application.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