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646464"/>
          <w:sz w:val="24"/>
        </w:rPr>
        <w:t>Project Design Phase</w:t>
        <w:br/>
      </w:r>
      <w:r>
        <w:rPr>
          <w:rFonts w:ascii="Calibri" w:hAnsi="Calibri"/>
          <w:b/>
          <w:color w:val="1B365D"/>
          <w:sz w:val="40"/>
        </w:rPr>
        <w:t>Solution Architecture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29 September 2026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SWTID-2026-9791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Project Name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Maximum Marks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4 Marks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Size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Leader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MONIKA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PREETHA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RANJANI DEVI 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Calibri" w:hAnsi="Calibri"/>
          <w:b/>
          <w:color w:val="1B365D"/>
          <w:sz w:val="24"/>
        </w:rPr>
        <w:t>Solution Architecture:</w:t>
      </w:r>
    </w:p>
    <w:p>
      <w:pPr>
        <w:spacing w:after="160"/>
      </w:pPr>
      <w:r>
        <w:t>Solution architecture describes the major components and data flow that connect the IT procurement process with the automated Flow Designer technology solution. The architecture defines how a standard laptop order request is triggered, validated, approved, and fulfilled automatically.</w:t>
      </w:r>
    </w:p>
    <w:p>
      <w:pPr>
        <w:spacing w:after="60"/>
      </w:pPr>
      <w:r>
        <w:rPr>
          <w:b/>
        </w:rPr>
        <w:t xml:space="preserve">• </w:t>
      </w:r>
      <w:r>
        <w:rPr>
          <w:rFonts w:ascii="Calibri" w:hAnsi="Calibri"/>
          <w:sz w:val="20"/>
        </w:rPr>
        <w:t>Provide a clear flow from user standard laptop order submission to final asset delivery.</w:t>
      </w:r>
    </w:p>
    <w:p>
      <w:pPr>
        <w:spacing w:after="60"/>
      </w:pPr>
      <w:r>
        <w:rPr>
          <w:b/>
        </w:rPr>
        <w:t xml:space="preserve">• </w:t>
      </w:r>
      <w:r>
        <w:rPr>
          <w:rFonts w:ascii="Calibri" w:hAnsi="Calibri"/>
          <w:sz w:val="20"/>
        </w:rPr>
        <w:t>Use ServiceNow Flow Designer to automate approvals, task routing, and status notifications.</w:t>
      </w:r>
    </w:p>
    <w:p>
      <w:pPr>
        <w:spacing w:after="60"/>
      </w:pPr>
      <w:r>
        <w:rPr>
          <w:b/>
        </w:rPr>
        <w:t xml:space="preserve">• </w:t>
      </w:r>
      <w:r>
        <w:rPr>
          <w:rFonts w:ascii="Calibri" w:hAnsi="Calibri"/>
          <w:sz w:val="20"/>
        </w:rPr>
        <w:t>Integrate with Asset Management / CMDB to verify inventory levels prior to task assignment.</w:t>
      </w:r>
    </w:p>
    <w:p>
      <w:pPr>
        <w:spacing w:after="60"/>
      </w:pPr>
      <w:r>
        <w:rPr>
          <w:b/>
        </w:rPr>
        <w:t xml:space="preserve">• </w:t>
      </w:r>
      <w:r>
        <w:rPr>
          <w:rFonts w:ascii="Calibri" w:hAnsi="Calibri"/>
          <w:sz w:val="20"/>
        </w:rPr>
        <w:t>Auto-assign fulfillment tasks (imaging, hardware configuration, dispatch) to IT teams.</w:t>
      </w:r>
    </w:p>
    <w:p>
      <w:pPr>
        <w:spacing w:after="60"/>
      </w:pPr>
      <w:r>
        <w:rPr>
          <w:b/>
        </w:rPr>
        <w:t xml:space="preserve">• </w:t>
      </w:r>
      <w:r>
        <w:rPr>
          <w:rFonts w:ascii="Calibri" w:hAnsi="Calibri"/>
          <w:sz w:val="20"/>
        </w:rPr>
        <w:t>Log stage progression and audit trail for SLA tracking and procurement transparency.</w:t>
      </w:r>
    </w:p>
    <w:p>
      <w:pPr>
        <w:spacing w:after="200"/>
      </w:pPr>
    </w:p>
    <w:p>
      <w:pPr>
        <w:spacing w:after="120"/>
      </w:pPr>
      <w:r>
        <w:rPr>
          <w:rFonts w:ascii="Calibri" w:hAnsi="Calibri"/>
          <w:b/>
          <w:color w:val="1B365D"/>
          <w:sz w:val="22"/>
        </w:rPr>
        <w:t>Solution Architecture Diagram: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97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ptop_procurement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sz w:val="18"/>
        </w:rPr>
        <w:t>Figure 1: Architecture and data flow of the Standard Laptop Procurement Flow Designer solution</w:t>
      </w:r>
    </w:p>
    <w:p>
      <w:r>
        <w:rPr>
          <w:rFonts w:ascii="Calibri" w:hAnsi="Calibri"/>
          <w:b/>
          <w:sz w:val="20"/>
        </w:rPr>
        <w:t>Reference:</w:t>
      </w:r>
    </w:p>
    <w:p>
      <w:pPr>
        <w:spacing w:after="40"/>
      </w:pPr>
      <w:r>
        <w:rPr>
          <w:i/>
          <w:color w:val="0066CC"/>
          <w:sz w:val="18"/>
        </w:rPr>
        <w:t>https://aws.amazon.com/architecture/</w:t>
      </w:r>
    </w:p>
    <w:p>
      <w:pPr>
        <w:spacing w:after="40"/>
      </w:pPr>
      <w:r>
        <w:rPr>
          <w:i/>
          <w:color w:val="0066CC"/>
          <w:sz w:val="18"/>
        </w:rPr>
        <w:t>https://www.ibm.com/cloud/architecture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