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Calibri" w:hAnsi="Calibri"/>
          <w:b/>
          <w:color w:val="646464"/>
          <w:sz w:val="24"/>
        </w:rPr>
        <w:t>Performance Testing</w:t>
        <w:br/>
      </w:r>
      <w:r>
        <w:rPr>
          <w:rFonts w:ascii="Calibri" w:hAnsi="Calibri"/>
          <w:b/>
          <w:color w:val="1B365D"/>
          <w:sz w:val="36"/>
        </w:rPr>
        <w:t>Streamlining IT Procurement: Automating Standard Laptop Orders with Flow Designer</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968"/>
        <w:gridCol w:w="4968"/>
      </w:tblGrid>
      <w:tr>
        <w:tc>
          <w:tcPr>
            <w:tcW w:type="dxa" w:w="3168"/>
            <w:shd w:fill="F2F4F7"/>
            <w:tcMar>
              <w:top w:w="80" w:type="dxa"/>
              <w:bottom w:w="80" w:type="dxa"/>
              <w:left w:w="120" w:type="dxa"/>
              <w:right w:w="120" w:type="dxa"/>
            </w:tcMar>
          </w:tcPr>
          <w:p>
            <w:r>
              <w:rPr>
                <w:rFonts w:ascii="Calibri" w:hAnsi="Calibri"/>
                <w:b/>
                <w:sz w:val="20"/>
              </w:rPr>
              <w:t>Date</w:t>
            </w:r>
          </w:p>
        </w:tc>
        <w:tc>
          <w:tcPr>
            <w:tcW w:type="dxa" w:w="6480"/>
            <w:tcMar>
              <w:top w:w="80" w:type="dxa"/>
              <w:bottom w:w="80" w:type="dxa"/>
              <w:left w:w="120" w:type="dxa"/>
              <w:right w:w="120" w:type="dxa"/>
            </w:tcMar>
          </w:tcPr>
          <w:p>
            <w:r>
              <w:rPr>
                <w:rFonts w:ascii="Calibri" w:hAnsi="Calibri"/>
                <w:sz w:val="20"/>
              </w:rPr>
              <w:t>30 September 2026</w:t>
            </w:r>
          </w:p>
        </w:tc>
      </w:tr>
      <w:tr>
        <w:tc>
          <w:tcPr>
            <w:tcW w:type="dxa" w:w="3168"/>
            <w:shd w:fill="F2F4F7"/>
            <w:tcMar>
              <w:top w:w="80" w:type="dxa"/>
              <w:bottom w:w="80" w:type="dxa"/>
              <w:left w:w="120" w:type="dxa"/>
              <w:right w:w="120" w:type="dxa"/>
            </w:tcMar>
          </w:tcPr>
          <w:p>
            <w:r>
              <w:rPr>
                <w:rFonts w:ascii="Calibri" w:hAnsi="Calibri"/>
                <w:b/>
                <w:sz w:val="20"/>
              </w:rPr>
              <w:t>Team ID</w:t>
            </w:r>
          </w:p>
        </w:tc>
        <w:tc>
          <w:tcPr>
            <w:tcW w:type="dxa" w:w="6480"/>
            <w:tcMar>
              <w:top w:w="80" w:type="dxa"/>
              <w:bottom w:w="80" w:type="dxa"/>
              <w:left w:w="120" w:type="dxa"/>
              <w:right w:w="120" w:type="dxa"/>
            </w:tcMar>
          </w:tcPr>
          <w:p>
            <w:r>
              <w:rPr>
                <w:rFonts w:ascii="Calibri" w:hAnsi="Calibri"/>
                <w:sz w:val="20"/>
              </w:rPr>
              <w:t>SWTID-2026-9791</w:t>
            </w:r>
          </w:p>
        </w:tc>
      </w:tr>
      <w:tr>
        <w:tc>
          <w:tcPr>
            <w:tcW w:type="dxa" w:w="3168"/>
            <w:shd w:fill="F2F4F7"/>
            <w:tcMar>
              <w:top w:w="80" w:type="dxa"/>
              <w:bottom w:w="80" w:type="dxa"/>
              <w:left w:w="120" w:type="dxa"/>
              <w:right w:w="120" w:type="dxa"/>
            </w:tcMar>
          </w:tcPr>
          <w:p>
            <w:r>
              <w:rPr>
                <w:rFonts w:ascii="Calibri" w:hAnsi="Calibri"/>
                <w:b/>
                <w:sz w:val="20"/>
              </w:rPr>
              <w:t>Project Name</w:t>
            </w:r>
          </w:p>
        </w:tc>
        <w:tc>
          <w:tcPr>
            <w:tcW w:type="dxa" w:w="6480"/>
            <w:tcMar>
              <w:top w:w="80" w:type="dxa"/>
              <w:bottom w:w="80" w:type="dxa"/>
              <w:left w:w="120" w:type="dxa"/>
              <w:right w:w="120" w:type="dxa"/>
            </w:tcMar>
          </w:tcPr>
          <w:p>
            <w:r>
              <w:rPr>
                <w:rFonts w:ascii="Calibri" w:hAnsi="Calibri"/>
                <w:sz w:val="20"/>
              </w:rPr>
              <w:t>Streamlining IT Procurement: Automating Standard Laptop Orders with Flow Designer</w:t>
            </w:r>
          </w:p>
        </w:tc>
      </w:tr>
      <w:tr>
        <w:tc>
          <w:tcPr>
            <w:tcW w:type="dxa" w:w="3168"/>
            <w:shd w:fill="F2F4F7"/>
            <w:tcMar>
              <w:top w:w="80" w:type="dxa"/>
              <w:bottom w:w="80" w:type="dxa"/>
              <w:left w:w="120" w:type="dxa"/>
              <w:right w:w="120" w:type="dxa"/>
            </w:tcMar>
          </w:tcPr>
          <w:p>
            <w:r>
              <w:rPr>
                <w:rFonts w:ascii="Calibri" w:hAnsi="Calibri"/>
                <w:b/>
                <w:sz w:val="20"/>
              </w:rPr>
              <w:t>Maximum Marks</w:t>
            </w:r>
          </w:p>
        </w:tc>
        <w:tc>
          <w:tcPr>
            <w:tcW w:type="dxa" w:w="6480"/>
            <w:tcMar>
              <w:top w:w="80" w:type="dxa"/>
              <w:bottom w:w="80" w:type="dxa"/>
              <w:left w:w="120" w:type="dxa"/>
              <w:right w:w="120" w:type="dxa"/>
            </w:tcMar>
          </w:tcPr>
          <w:p>
            <w:r>
              <w:rPr>
                <w:rFonts w:ascii="Calibri" w:hAnsi="Calibri"/>
                <w:sz w:val="20"/>
              </w:rPr>
              <w:t>5 Marks</w:t>
            </w:r>
          </w:p>
        </w:tc>
      </w:tr>
      <w:tr>
        <w:tc>
          <w:tcPr>
            <w:tcW w:type="dxa" w:w="3168"/>
            <w:shd w:fill="F2F4F7"/>
            <w:tcMar>
              <w:top w:w="80" w:type="dxa"/>
              <w:bottom w:w="80" w:type="dxa"/>
              <w:left w:w="120" w:type="dxa"/>
              <w:right w:w="120" w:type="dxa"/>
            </w:tcMar>
          </w:tcPr>
          <w:p>
            <w:r>
              <w:rPr>
                <w:rFonts w:ascii="Calibri" w:hAnsi="Calibri"/>
                <w:b/>
                <w:sz w:val="20"/>
              </w:rPr>
              <w:t>Team Size</w:t>
            </w:r>
          </w:p>
        </w:tc>
        <w:tc>
          <w:tcPr>
            <w:tcW w:type="dxa" w:w="6480"/>
            <w:tcMar>
              <w:top w:w="80" w:type="dxa"/>
              <w:bottom w:w="80" w:type="dxa"/>
              <w:left w:w="120" w:type="dxa"/>
              <w:right w:w="120" w:type="dxa"/>
            </w:tcMar>
          </w:tcPr>
          <w:p>
            <w:r>
              <w:rPr>
                <w:rFonts w:ascii="Calibri" w:hAnsi="Calibri"/>
                <w:sz w:val="20"/>
              </w:rPr>
              <w:t>3</w:t>
            </w:r>
          </w:p>
        </w:tc>
      </w:tr>
      <w:tr>
        <w:tc>
          <w:tcPr>
            <w:tcW w:type="dxa" w:w="3168"/>
            <w:shd w:fill="F2F4F7"/>
            <w:tcMar>
              <w:top w:w="80" w:type="dxa"/>
              <w:bottom w:w="80" w:type="dxa"/>
              <w:left w:w="120" w:type="dxa"/>
              <w:right w:w="120" w:type="dxa"/>
            </w:tcMar>
          </w:tcPr>
          <w:p>
            <w:r>
              <w:rPr>
                <w:rFonts w:ascii="Calibri" w:hAnsi="Calibri"/>
                <w:b/>
                <w:sz w:val="20"/>
              </w:rPr>
              <w:t>Team Leader</w:t>
            </w:r>
          </w:p>
        </w:tc>
        <w:tc>
          <w:tcPr>
            <w:tcW w:type="dxa" w:w="6480"/>
            <w:tcMar>
              <w:top w:w="80" w:type="dxa"/>
              <w:bottom w:w="80" w:type="dxa"/>
              <w:left w:w="120" w:type="dxa"/>
              <w:right w:w="120" w:type="dxa"/>
            </w:tcMar>
          </w:tcPr>
          <w:p>
            <w:r>
              <w:rPr>
                <w:rFonts w:ascii="Calibri" w:hAnsi="Calibri"/>
                <w:sz w:val="20"/>
              </w:rPr>
              <w:t>MONIKA S</w:t>
            </w:r>
          </w:p>
        </w:tc>
      </w:tr>
      <w:tr>
        <w:tc>
          <w:tcPr>
            <w:tcW w:type="dxa" w:w="3168"/>
            <w:shd w:fill="F2F4F7"/>
            <w:tcMar>
              <w:top w:w="80" w:type="dxa"/>
              <w:bottom w:w="80" w:type="dxa"/>
              <w:left w:w="120" w:type="dxa"/>
              <w:right w:w="120" w:type="dxa"/>
            </w:tcMar>
          </w:tcPr>
          <w:p>
            <w:r>
              <w:rPr>
                <w:rFonts w:ascii="Calibri" w:hAnsi="Calibri"/>
                <w:b/>
                <w:sz w:val="20"/>
              </w:rPr>
              <w:t>Team Member</w:t>
            </w:r>
          </w:p>
        </w:tc>
        <w:tc>
          <w:tcPr>
            <w:tcW w:type="dxa" w:w="6480"/>
            <w:tcMar>
              <w:top w:w="80" w:type="dxa"/>
              <w:bottom w:w="80" w:type="dxa"/>
              <w:left w:w="120" w:type="dxa"/>
              <w:right w:w="120" w:type="dxa"/>
            </w:tcMar>
          </w:tcPr>
          <w:p>
            <w:r>
              <w:rPr>
                <w:rFonts w:ascii="Calibri" w:hAnsi="Calibri"/>
                <w:sz w:val="20"/>
              </w:rPr>
              <w:t>PREETHA S</w:t>
            </w:r>
          </w:p>
        </w:tc>
      </w:tr>
      <w:tr>
        <w:tc>
          <w:tcPr>
            <w:tcW w:type="dxa" w:w="3168"/>
            <w:shd w:fill="F2F4F7"/>
            <w:tcMar>
              <w:top w:w="80" w:type="dxa"/>
              <w:bottom w:w="80" w:type="dxa"/>
              <w:left w:w="120" w:type="dxa"/>
              <w:right w:w="120" w:type="dxa"/>
            </w:tcMar>
          </w:tcPr>
          <w:p>
            <w:r>
              <w:rPr>
                <w:rFonts w:ascii="Calibri" w:hAnsi="Calibri"/>
                <w:b/>
                <w:sz w:val="20"/>
              </w:rPr>
              <w:t>Team Member</w:t>
            </w:r>
          </w:p>
        </w:tc>
        <w:tc>
          <w:tcPr>
            <w:tcW w:type="dxa" w:w="6480"/>
            <w:tcMar>
              <w:top w:w="80" w:type="dxa"/>
              <w:bottom w:w="80" w:type="dxa"/>
              <w:left w:w="120" w:type="dxa"/>
              <w:right w:w="120" w:type="dxa"/>
            </w:tcMar>
          </w:tcPr>
          <w:p>
            <w:r>
              <w:rPr>
                <w:rFonts w:ascii="Calibri" w:hAnsi="Calibri"/>
                <w:sz w:val="20"/>
              </w:rPr>
              <w:t>RANJANI DEVI M</w:t>
            </w:r>
          </w:p>
        </w:tc>
      </w:tr>
    </w:tbl>
    <w:p>
      <w:pPr>
        <w:spacing w:after="240"/>
      </w:pPr>
    </w:p>
    <w:p>
      <w:pPr>
        <w:spacing w:after="80"/>
      </w:pPr>
      <w:r>
        <w:rPr>
          <w:rFonts w:ascii="Calibri" w:hAnsi="Calibri"/>
          <w:b/>
          <w:color w:val="1B365D"/>
          <w:sz w:val="24"/>
        </w:rPr>
        <w:t>Performance Testing</w:t>
      </w:r>
    </w:p>
    <w:p>
      <w:pPr>
        <w:spacing w:after="240"/>
      </w:pPr>
      <w:r>
        <w:t>Performance testing evaluates how the Flow Designer IT Procurement workflow behaves during normal and repeated order requests. For this ServiceNow project, validation focuses on consistent flow trigger evaluation, manager approval routing, CMDB inventory lookup, and absence of functional errors.</w:t>
      </w:r>
    </w:p>
    <w:p>
      <w:pPr>
        <w:spacing w:after="120"/>
      </w:pPr>
      <w:r>
        <w:rPr>
          <w:rFonts w:ascii="Calibri" w:hAnsi="Calibri"/>
          <w:b/>
          <w:color w:val="1B365D"/>
          <w:sz w:val="24"/>
        </w:rPr>
        <w:t>Step 1: Testing Overview</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968"/>
        <w:gridCol w:w="4968"/>
      </w:tblGrid>
      <w:tr>
        <w:tc>
          <w:tcPr>
            <w:tcW w:type="dxa" w:w="3168"/>
            <w:shd w:fill="F2F4F7"/>
            <w:tcMar>
              <w:top w:w="60" w:type="dxa"/>
              <w:bottom w:w="60" w:type="dxa"/>
              <w:left w:w="100" w:type="dxa"/>
              <w:right w:w="100" w:type="dxa"/>
            </w:tcMar>
          </w:tcPr>
          <w:p>
            <w:r>
              <w:rPr>
                <w:rFonts w:ascii="Calibri" w:hAnsi="Calibri"/>
                <w:b/>
                <w:sz w:val="19"/>
              </w:rPr>
              <w:t>Testing Tool Used</w:t>
            </w:r>
          </w:p>
        </w:tc>
        <w:tc>
          <w:tcPr>
            <w:tcW w:type="dxa" w:w="6480"/>
            <w:tcMar>
              <w:top w:w="60" w:type="dxa"/>
              <w:bottom w:w="60" w:type="dxa"/>
              <w:left w:w="100" w:type="dxa"/>
              <w:right w:w="100" w:type="dxa"/>
            </w:tcMar>
          </w:tcPr>
          <w:p>
            <w:r>
              <w:rPr>
                <w:rFonts w:ascii="Calibri" w:hAnsi="Calibri"/>
                <w:sz w:val="19"/>
              </w:rPr>
              <w:t>ServiceNow platform / manual access validation</w:t>
            </w:r>
          </w:p>
        </w:tc>
      </w:tr>
      <w:tr>
        <w:tc>
          <w:tcPr>
            <w:tcW w:type="dxa" w:w="3168"/>
            <w:shd w:fill="F2F4F7"/>
            <w:tcMar>
              <w:top w:w="60" w:type="dxa"/>
              <w:bottom w:w="60" w:type="dxa"/>
              <w:left w:w="100" w:type="dxa"/>
              <w:right w:w="100" w:type="dxa"/>
            </w:tcMar>
          </w:tcPr>
          <w:p>
            <w:r>
              <w:rPr>
                <w:rFonts w:ascii="Calibri" w:hAnsi="Calibri"/>
                <w:b/>
                <w:sz w:val="19"/>
              </w:rPr>
              <w:t>Type of Testing</w:t>
            </w:r>
          </w:p>
        </w:tc>
        <w:tc>
          <w:tcPr>
            <w:tcW w:type="dxa" w:w="6480"/>
            <w:tcMar>
              <w:top w:w="60" w:type="dxa"/>
              <w:bottom w:w="60" w:type="dxa"/>
              <w:left w:w="100" w:type="dxa"/>
              <w:right w:w="100" w:type="dxa"/>
            </w:tcMar>
          </w:tcPr>
          <w:p>
            <w:r>
              <w:rPr>
                <w:rFonts w:ascii="Calibri" w:hAnsi="Calibri"/>
                <w:sz w:val="19"/>
              </w:rPr>
              <w:t>Order-response validation, repeated flow execution, consistency testing</w:t>
            </w:r>
          </w:p>
        </w:tc>
      </w:tr>
      <w:tr>
        <w:tc>
          <w:tcPr>
            <w:tcW w:type="dxa" w:w="3168"/>
            <w:shd w:fill="F2F4F7"/>
            <w:tcMar>
              <w:top w:w="60" w:type="dxa"/>
              <w:bottom w:w="60" w:type="dxa"/>
              <w:left w:w="100" w:type="dxa"/>
              <w:right w:w="100" w:type="dxa"/>
            </w:tcMar>
          </w:tcPr>
          <w:p>
            <w:r>
              <w:rPr>
                <w:rFonts w:ascii="Calibri" w:hAnsi="Calibri"/>
                <w:b/>
                <w:sz w:val="19"/>
              </w:rPr>
              <w:t>Target Module / API</w:t>
            </w:r>
          </w:p>
        </w:tc>
        <w:tc>
          <w:tcPr>
            <w:tcW w:type="dxa" w:w="6480"/>
            <w:tcMar>
              <w:top w:w="60" w:type="dxa"/>
              <w:bottom w:w="60" w:type="dxa"/>
              <w:left w:w="100" w:type="dxa"/>
              <w:right w:w="100" w:type="dxa"/>
            </w:tcMar>
          </w:tcPr>
          <w:p>
            <w:r>
              <w:rPr>
                <w:rFonts w:ascii="Calibri" w:hAnsi="Calibri"/>
                <w:sz w:val="19"/>
              </w:rPr>
              <w:t>Service Catalog [sc_req_item] &amp; Flow Designer Engine</w:t>
            </w:r>
          </w:p>
        </w:tc>
      </w:tr>
      <w:tr>
        <w:tc>
          <w:tcPr>
            <w:tcW w:type="dxa" w:w="3168"/>
            <w:shd w:fill="F2F4F7"/>
            <w:tcMar>
              <w:top w:w="60" w:type="dxa"/>
              <w:bottom w:w="60" w:type="dxa"/>
              <w:left w:w="100" w:type="dxa"/>
              <w:right w:w="100" w:type="dxa"/>
            </w:tcMar>
          </w:tcPr>
          <w:p>
            <w:r>
              <w:rPr>
                <w:rFonts w:ascii="Calibri" w:hAnsi="Calibri"/>
                <w:b/>
                <w:sz w:val="19"/>
              </w:rPr>
              <w:t>Test Environment</w:t>
            </w:r>
          </w:p>
        </w:tc>
        <w:tc>
          <w:tcPr>
            <w:tcW w:type="dxa" w:w="6480"/>
            <w:tcMar>
              <w:top w:w="60" w:type="dxa"/>
              <w:bottom w:w="60" w:type="dxa"/>
              <w:left w:w="100" w:type="dxa"/>
              <w:right w:w="100" w:type="dxa"/>
            </w:tcMar>
          </w:tcPr>
          <w:p>
            <w:r>
              <w:rPr>
                <w:rFonts w:ascii="Calibri" w:hAnsi="Calibri"/>
                <w:sz w:val="19"/>
              </w:rPr>
              <w:t>ServiceNow Instance</w:t>
            </w:r>
          </w:p>
        </w:tc>
      </w:tr>
      <w:tr>
        <w:tc>
          <w:tcPr>
            <w:tcW w:type="dxa" w:w="3168"/>
            <w:shd w:fill="F2F4F7"/>
            <w:tcMar>
              <w:top w:w="60" w:type="dxa"/>
              <w:bottom w:w="60" w:type="dxa"/>
              <w:left w:w="100" w:type="dxa"/>
              <w:right w:w="100" w:type="dxa"/>
            </w:tcMar>
          </w:tcPr>
          <w:p>
            <w:r>
              <w:rPr>
                <w:rFonts w:ascii="Calibri" w:hAnsi="Calibri"/>
                <w:b/>
                <w:sz w:val="19"/>
              </w:rPr>
              <w:t>Test Date</w:t>
            </w:r>
          </w:p>
        </w:tc>
        <w:tc>
          <w:tcPr>
            <w:tcW w:type="dxa" w:w="6480"/>
            <w:tcMar>
              <w:top w:w="60" w:type="dxa"/>
              <w:bottom w:w="60" w:type="dxa"/>
              <w:left w:w="100" w:type="dxa"/>
              <w:right w:w="100" w:type="dxa"/>
            </w:tcMar>
          </w:tcPr>
          <w:p>
            <w:r>
              <w:rPr>
                <w:rFonts w:ascii="Calibri" w:hAnsi="Calibri"/>
                <w:sz w:val="19"/>
              </w:rPr>
              <w:t>30 September 2026</w:t>
            </w:r>
          </w:p>
        </w:tc>
      </w:tr>
    </w:tbl>
    <w:p>
      <w:pPr>
        <w:spacing w:after="240"/>
      </w:pPr>
    </w:p>
    <w:p>
      <w:pPr>
        <w:spacing w:after="120"/>
      </w:pPr>
      <w:r>
        <w:rPr>
          <w:rFonts w:ascii="Calibri" w:hAnsi="Calibri"/>
          <w:b/>
          <w:color w:val="1B365D"/>
          <w:sz w:val="24"/>
        </w:rPr>
        <w:t>Step 2: Test Scenarios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987"/>
        <w:gridCol w:w="1987"/>
        <w:gridCol w:w="1987"/>
        <w:gridCol w:w="1987"/>
        <w:gridCol w:w="1987"/>
      </w:tblGrid>
      <w:tr>
        <w:tc>
          <w:tcPr>
            <w:tcW w:type="dxa" w:w="720"/>
            <w:shd w:fill="1B365D"/>
            <w:tcMar>
              <w:top w:w="60" w:type="dxa"/>
              <w:bottom w:w="60" w:type="dxa"/>
              <w:left w:w="60" w:type="dxa"/>
              <w:right w:w="60" w:type="dxa"/>
            </w:tcMar>
          </w:tcPr>
          <w:p>
            <w:r>
              <w:rPr>
                <w:rFonts w:ascii="Calibri" w:hAnsi="Calibri"/>
                <w:b/>
                <w:color w:val="FFFFFF"/>
                <w:sz w:val="17"/>
              </w:rPr>
              <w:t>S.No</w:t>
            </w:r>
          </w:p>
        </w:tc>
        <w:tc>
          <w:tcPr>
            <w:tcW w:type="dxa" w:w="3600"/>
            <w:shd w:fill="1B365D"/>
            <w:tcMar>
              <w:top w:w="60" w:type="dxa"/>
              <w:bottom w:w="60" w:type="dxa"/>
              <w:left w:w="60" w:type="dxa"/>
              <w:right w:w="60" w:type="dxa"/>
            </w:tcMar>
          </w:tcPr>
          <w:p>
            <w:r>
              <w:rPr>
                <w:rFonts w:ascii="Calibri" w:hAnsi="Calibri"/>
                <w:b/>
                <w:color w:val="FFFFFF"/>
                <w:sz w:val="17"/>
              </w:rPr>
              <w:t>Test Scenario / Description</w:t>
            </w:r>
          </w:p>
        </w:tc>
        <w:tc>
          <w:tcPr>
            <w:tcW w:type="dxa" w:w="1728"/>
            <w:shd w:fill="1B365D"/>
            <w:tcMar>
              <w:top w:w="60" w:type="dxa"/>
              <w:bottom w:w="60" w:type="dxa"/>
              <w:left w:w="60" w:type="dxa"/>
              <w:right w:w="60" w:type="dxa"/>
            </w:tcMar>
          </w:tcPr>
          <w:p>
            <w:r>
              <w:rPr>
                <w:rFonts w:ascii="Calibri" w:hAnsi="Calibri"/>
                <w:b/>
                <w:color w:val="FFFFFF"/>
                <w:sz w:val="17"/>
              </w:rPr>
              <w:t>No. of Virtual Users</w:t>
            </w:r>
          </w:p>
        </w:tc>
        <w:tc>
          <w:tcPr>
            <w:tcW w:type="dxa" w:w="1584"/>
            <w:shd w:fill="1B365D"/>
            <w:tcMar>
              <w:top w:w="60" w:type="dxa"/>
              <w:bottom w:w="60" w:type="dxa"/>
              <w:left w:w="60" w:type="dxa"/>
              <w:right w:w="60" w:type="dxa"/>
            </w:tcMar>
          </w:tcPr>
          <w:p>
            <w:r>
              <w:rPr>
                <w:rFonts w:ascii="Calibri" w:hAnsi="Calibri"/>
                <w:b/>
                <w:color w:val="FFFFFF"/>
                <w:sz w:val="17"/>
              </w:rPr>
              <w:t>Duration (sec)</w:t>
            </w:r>
          </w:p>
        </w:tc>
        <w:tc>
          <w:tcPr>
            <w:tcW w:type="dxa" w:w="2016"/>
            <w:shd w:fill="1B365D"/>
            <w:tcMar>
              <w:top w:w="60" w:type="dxa"/>
              <w:bottom w:w="60" w:type="dxa"/>
              <w:left w:w="60" w:type="dxa"/>
              <w:right w:w="60" w:type="dxa"/>
            </w:tcMar>
          </w:tcPr>
          <w:p>
            <w:r>
              <w:rPr>
                <w:rFonts w:ascii="Calibri" w:hAnsi="Calibri"/>
                <w:b/>
                <w:color w:val="FFFFFF"/>
                <w:sz w:val="17"/>
              </w:rPr>
              <w:t>Expected Outcome</w:t>
            </w:r>
          </w:p>
        </w:tc>
      </w:tr>
      <w:tr>
        <w:tc>
          <w:tcPr>
            <w:tcW w:type="dxa" w:w="720"/>
            <w:tcMar>
              <w:top w:w="60" w:type="dxa"/>
              <w:bottom w:w="60" w:type="dxa"/>
              <w:left w:w="60" w:type="dxa"/>
              <w:right w:w="60" w:type="dxa"/>
            </w:tcMar>
          </w:tcPr>
          <w:p>
            <w:r>
              <w:rPr>
                <w:rFonts w:ascii="Calibri" w:hAnsi="Calibri"/>
                <w:sz w:val="17"/>
              </w:rPr>
              <w:t>1</w:t>
            </w:r>
          </w:p>
        </w:tc>
        <w:tc>
          <w:tcPr>
            <w:tcW w:type="dxa" w:w="3600"/>
            <w:tcMar>
              <w:top w:w="60" w:type="dxa"/>
              <w:bottom w:w="60" w:type="dxa"/>
              <w:left w:w="60" w:type="dxa"/>
              <w:right w:w="60" w:type="dxa"/>
            </w:tcMar>
          </w:tcPr>
          <w:p>
            <w:r>
              <w:rPr>
                <w:rFonts w:ascii="Calibri" w:hAnsi="Calibri"/>
                <w:sz w:val="17"/>
              </w:rPr>
              <w:t>Authorized standard laptop order access</w:t>
            </w:r>
          </w:p>
        </w:tc>
        <w:tc>
          <w:tcPr>
            <w:tcW w:type="dxa" w:w="1728"/>
            <w:tcMar>
              <w:top w:w="60" w:type="dxa"/>
              <w:bottom w:w="60" w:type="dxa"/>
              <w:left w:w="60" w:type="dxa"/>
              <w:right w:w="60" w:type="dxa"/>
            </w:tcMar>
          </w:tcPr>
          <w:p>
            <w:r>
              <w:rPr>
                <w:rFonts w:ascii="Calibri" w:hAnsi="Calibri"/>
                <w:sz w:val="17"/>
              </w:rPr>
              <w:t>1</w:t>
            </w:r>
          </w:p>
        </w:tc>
        <w:tc>
          <w:tcPr>
            <w:tcW w:type="dxa" w:w="1584"/>
            <w:tcMar>
              <w:top w:w="60" w:type="dxa"/>
              <w:bottom w:w="60" w:type="dxa"/>
              <w:left w:w="60" w:type="dxa"/>
              <w:right w:w="60" w:type="dxa"/>
            </w:tcMar>
          </w:tcPr>
          <w:p>
            <w:r>
              <w:rPr>
                <w:rFonts w:ascii="Calibri" w:hAnsi="Calibri"/>
                <w:sz w:val="17"/>
              </w:rPr>
              <w:t>Manual validation</w:t>
            </w:r>
          </w:p>
        </w:tc>
        <w:tc>
          <w:tcPr>
            <w:tcW w:type="dxa" w:w="2016"/>
            <w:tcMar>
              <w:top w:w="60" w:type="dxa"/>
              <w:bottom w:w="60" w:type="dxa"/>
              <w:left w:w="60" w:type="dxa"/>
              <w:right w:w="60" w:type="dxa"/>
            </w:tcMar>
          </w:tcPr>
          <w:p>
            <w:r>
              <w:rPr>
                <w:rFonts w:ascii="Calibri" w:hAnsi="Calibri"/>
                <w:sz w:val="17"/>
              </w:rPr>
              <w:t>Permitted catalog item is accessible and triggers Flow Designer.</w:t>
            </w:r>
          </w:p>
        </w:tc>
      </w:tr>
      <w:tr>
        <w:tc>
          <w:tcPr>
            <w:tcW w:type="dxa" w:w="720"/>
            <w:tcMar>
              <w:top w:w="60" w:type="dxa"/>
              <w:bottom w:w="60" w:type="dxa"/>
              <w:left w:w="60" w:type="dxa"/>
              <w:right w:w="60" w:type="dxa"/>
            </w:tcMar>
            <w:shd w:fill="F9FAFB"/>
          </w:tcPr>
          <w:p>
            <w:r>
              <w:rPr>
                <w:rFonts w:ascii="Calibri" w:hAnsi="Calibri"/>
                <w:sz w:val="17"/>
              </w:rPr>
              <w:t>2</w:t>
            </w:r>
          </w:p>
        </w:tc>
        <w:tc>
          <w:tcPr>
            <w:tcW w:type="dxa" w:w="3600"/>
            <w:tcMar>
              <w:top w:w="60" w:type="dxa"/>
              <w:bottom w:w="60" w:type="dxa"/>
              <w:left w:w="60" w:type="dxa"/>
              <w:right w:w="60" w:type="dxa"/>
            </w:tcMar>
            <w:shd w:fill="F9FAFB"/>
          </w:tcPr>
          <w:p>
            <w:r>
              <w:rPr>
                <w:rFonts w:ascii="Calibri" w:hAnsi="Calibri"/>
                <w:sz w:val="17"/>
              </w:rPr>
              <w:t>Unauthorized / Out-of-policy request access</w:t>
            </w:r>
          </w:p>
        </w:tc>
        <w:tc>
          <w:tcPr>
            <w:tcW w:type="dxa" w:w="1728"/>
            <w:tcMar>
              <w:top w:w="60" w:type="dxa"/>
              <w:bottom w:w="60" w:type="dxa"/>
              <w:left w:w="60" w:type="dxa"/>
              <w:right w:w="60" w:type="dxa"/>
            </w:tcMar>
            <w:shd w:fill="F9FAFB"/>
          </w:tcPr>
          <w:p>
            <w:r>
              <w:rPr>
                <w:rFonts w:ascii="Calibri" w:hAnsi="Calibri"/>
                <w:sz w:val="17"/>
              </w:rPr>
              <w:t>1</w:t>
            </w:r>
          </w:p>
        </w:tc>
        <w:tc>
          <w:tcPr>
            <w:tcW w:type="dxa" w:w="1584"/>
            <w:tcMar>
              <w:top w:w="60" w:type="dxa"/>
              <w:bottom w:w="60" w:type="dxa"/>
              <w:left w:w="60" w:type="dxa"/>
              <w:right w:w="60" w:type="dxa"/>
            </w:tcMar>
            <w:shd w:fill="F9FAFB"/>
          </w:tcPr>
          <w:p>
            <w:r>
              <w:rPr>
                <w:rFonts w:ascii="Calibri" w:hAnsi="Calibri"/>
                <w:sz w:val="17"/>
              </w:rPr>
              <w:t>Manual validation</w:t>
            </w:r>
          </w:p>
        </w:tc>
        <w:tc>
          <w:tcPr>
            <w:tcW w:type="dxa" w:w="2016"/>
            <w:tcMar>
              <w:top w:w="60" w:type="dxa"/>
              <w:bottom w:w="60" w:type="dxa"/>
              <w:left w:w="60" w:type="dxa"/>
              <w:right w:w="60" w:type="dxa"/>
            </w:tcMar>
            <w:shd w:fill="F9FAFB"/>
          </w:tcPr>
          <w:p>
            <w:r>
              <w:rPr>
                <w:rFonts w:ascii="Calibri" w:hAnsi="Calibri"/>
                <w:sz w:val="17"/>
              </w:rPr>
              <w:t>Order request is blocked and restricted options are not exposed.</w:t>
            </w:r>
          </w:p>
        </w:tc>
      </w:tr>
      <w:tr>
        <w:tc>
          <w:tcPr>
            <w:tcW w:type="dxa" w:w="720"/>
            <w:tcMar>
              <w:top w:w="60" w:type="dxa"/>
              <w:bottom w:w="60" w:type="dxa"/>
              <w:left w:w="60" w:type="dxa"/>
              <w:right w:w="60" w:type="dxa"/>
            </w:tcMar>
          </w:tcPr>
          <w:p>
            <w:r>
              <w:rPr>
                <w:rFonts w:ascii="Calibri" w:hAnsi="Calibri"/>
                <w:sz w:val="17"/>
              </w:rPr>
              <w:t>3</w:t>
            </w:r>
          </w:p>
        </w:tc>
        <w:tc>
          <w:tcPr>
            <w:tcW w:type="dxa" w:w="3600"/>
            <w:tcMar>
              <w:top w:w="60" w:type="dxa"/>
              <w:bottom w:w="60" w:type="dxa"/>
              <w:left w:w="60" w:type="dxa"/>
              <w:right w:w="60" w:type="dxa"/>
            </w:tcMar>
          </w:tcPr>
          <w:p>
            <w:r>
              <w:rPr>
                <w:rFonts w:ascii="Calibri" w:hAnsi="Calibri"/>
                <w:sz w:val="17"/>
              </w:rPr>
              <w:t>Multiple laptop requests with mixed configurations</w:t>
            </w:r>
          </w:p>
        </w:tc>
        <w:tc>
          <w:tcPr>
            <w:tcW w:type="dxa" w:w="1728"/>
            <w:tcMar>
              <w:top w:w="60" w:type="dxa"/>
              <w:bottom w:w="60" w:type="dxa"/>
              <w:left w:w="60" w:type="dxa"/>
              <w:right w:w="60" w:type="dxa"/>
            </w:tcMar>
          </w:tcPr>
          <w:p>
            <w:r>
              <w:rPr>
                <w:rFonts w:ascii="Calibri" w:hAnsi="Calibri"/>
                <w:sz w:val="17"/>
              </w:rPr>
              <w:t>1</w:t>
            </w:r>
          </w:p>
        </w:tc>
        <w:tc>
          <w:tcPr>
            <w:tcW w:type="dxa" w:w="1584"/>
            <w:tcMar>
              <w:top w:w="60" w:type="dxa"/>
              <w:bottom w:w="60" w:type="dxa"/>
              <w:left w:w="60" w:type="dxa"/>
              <w:right w:w="60" w:type="dxa"/>
            </w:tcMar>
          </w:tcPr>
          <w:p>
            <w:r>
              <w:rPr>
                <w:rFonts w:ascii="Calibri" w:hAnsi="Calibri"/>
                <w:sz w:val="17"/>
              </w:rPr>
              <w:t>Manual validation</w:t>
            </w:r>
          </w:p>
        </w:tc>
        <w:tc>
          <w:tcPr>
            <w:tcW w:type="dxa" w:w="2016"/>
            <w:tcMar>
              <w:top w:w="60" w:type="dxa"/>
              <w:bottom w:w="60" w:type="dxa"/>
              <w:left w:w="60" w:type="dxa"/>
              <w:right w:w="60" w:type="dxa"/>
            </w:tcMar>
          </w:tcPr>
          <w:p>
            <w:r>
              <w:rPr>
                <w:rFonts w:ascii="Calibri" w:hAnsi="Calibri"/>
                <w:sz w:val="17"/>
              </w:rPr>
              <w:t>Only valid laptop catalog requests trigger fulfillment tasks.</w:t>
            </w:r>
          </w:p>
        </w:tc>
      </w:tr>
      <w:tr>
        <w:tc>
          <w:tcPr>
            <w:tcW w:type="dxa" w:w="720"/>
            <w:tcMar>
              <w:top w:w="60" w:type="dxa"/>
              <w:bottom w:w="60" w:type="dxa"/>
              <w:left w:w="60" w:type="dxa"/>
              <w:right w:w="60" w:type="dxa"/>
            </w:tcMar>
            <w:shd w:fill="F9FAFB"/>
          </w:tcPr>
          <w:p>
            <w:r>
              <w:rPr>
                <w:rFonts w:ascii="Calibri" w:hAnsi="Calibri"/>
                <w:sz w:val="17"/>
              </w:rPr>
              <w:t>4</w:t>
            </w:r>
          </w:p>
        </w:tc>
        <w:tc>
          <w:tcPr>
            <w:tcW w:type="dxa" w:w="3600"/>
            <w:tcMar>
              <w:top w:w="60" w:type="dxa"/>
              <w:bottom w:w="60" w:type="dxa"/>
              <w:left w:w="60" w:type="dxa"/>
              <w:right w:w="60" w:type="dxa"/>
            </w:tcMar>
            <w:shd w:fill="F9FAFB"/>
          </w:tcPr>
          <w:p>
            <w:r>
              <w:rPr>
                <w:rFonts w:ascii="Calibri" w:hAnsi="Calibri"/>
                <w:sz w:val="17"/>
              </w:rPr>
              <w:t>Repeated Flow Designer execution / script validation</w:t>
            </w:r>
          </w:p>
        </w:tc>
        <w:tc>
          <w:tcPr>
            <w:tcW w:type="dxa" w:w="1728"/>
            <w:tcMar>
              <w:top w:w="60" w:type="dxa"/>
              <w:bottom w:w="60" w:type="dxa"/>
              <w:left w:w="60" w:type="dxa"/>
              <w:right w:w="60" w:type="dxa"/>
            </w:tcMar>
            <w:shd w:fill="F9FAFB"/>
          </w:tcPr>
          <w:p>
            <w:r>
              <w:rPr>
                <w:rFonts w:ascii="Calibri" w:hAnsi="Calibri"/>
                <w:sz w:val="17"/>
              </w:rPr>
              <w:t>1</w:t>
            </w:r>
          </w:p>
        </w:tc>
        <w:tc>
          <w:tcPr>
            <w:tcW w:type="dxa" w:w="1584"/>
            <w:tcMar>
              <w:top w:w="60" w:type="dxa"/>
              <w:bottom w:w="60" w:type="dxa"/>
              <w:left w:w="60" w:type="dxa"/>
              <w:right w:w="60" w:type="dxa"/>
            </w:tcMar>
            <w:shd w:fill="F9FAFB"/>
          </w:tcPr>
          <w:p>
            <w:r>
              <w:rPr>
                <w:rFonts w:ascii="Calibri" w:hAnsi="Calibri"/>
                <w:sz w:val="17"/>
              </w:rPr>
              <w:t>Repeated requests</w:t>
            </w:r>
          </w:p>
        </w:tc>
        <w:tc>
          <w:tcPr>
            <w:tcW w:type="dxa" w:w="2016"/>
            <w:tcMar>
              <w:top w:w="60" w:type="dxa"/>
              <w:bottom w:w="60" w:type="dxa"/>
              <w:left w:w="60" w:type="dxa"/>
              <w:right w:w="60" w:type="dxa"/>
            </w:tcMar>
            <w:shd w:fill="F9FAFB"/>
          </w:tcPr>
          <w:p>
            <w:r>
              <w:rPr>
                <w:rFonts w:ascii="Calibri" w:hAnsi="Calibri"/>
                <w:sz w:val="17"/>
              </w:rPr>
              <w:t>Workflow execution remains consistent without observed errors.</w:t>
            </w:r>
          </w:p>
        </w:tc>
      </w:tr>
    </w:tbl>
    <w:p>
      <w:pPr>
        <w:spacing w:after="240"/>
      </w:pPr>
    </w:p>
    <w:p>
      <w:pPr>
        <w:spacing w:after="120"/>
      </w:pPr>
      <w:r>
        <w:rPr>
          <w:rFonts w:ascii="Calibri" w:hAnsi="Calibri"/>
          <w:b/>
          <w:color w:val="1B365D"/>
          <w:sz w:val="24"/>
        </w:rPr>
        <w:t>Step 3: Performance Test Results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656"/>
        <w:gridCol w:w="1656"/>
        <w:gridCol w:w="1656"/>
        <w:gridCol w:w="1656"/>
        <w:gridCol w:w="1656"/>
        <w:gridCol w:w="1656"/>
      </w:tblGrid>
      <w:tr>
        <w:tc>
          <w:tcPr>
            <w:tcW w:type="dxa" w:w="576"/>
            <w:shd w:fill="1B365D"/>
            <w:tcMar>
              <w:top w:w="60" w:type="dxa"/>
              <w:bottom w:w="60" w:type="dxa"/>
              <w:left w:w="60" w:type="dxa"/>
              <w:right w:w="60" w:type="dxa"/>
            </w:tcMar>
          </w:tcPr>
          <w:p>
            <w:r>
              <w:rPr>
                <w:rFonts w:ascii="Calibri" w:hAnsi="Calibri"/>
                <w:b/>
                <w:color w:val="FFFFFF"/>
                <w:sz w:val="17"/>
              </w:rPr>
              <w:t>S.No</w:t>
            </w:r>
          </w:p>
        </w:tc>
        <w:tc>
          <w:tcPr>
            <w:tcW w:type="dxa" w:w="2592"/>
            <w:shd w:fill="1B365D"/>
            <w:tcMar>
              <w:top w:w="60" w:type="dxa"/>
              <w:bottom w:w="60" w:type="dxa"/>
              <w:left w:w="60" w:type="dxa"/>
              <w:right w:w="60" w:type="dxa"/>
            </w:tcMar>
          </w:tcPr>
          <w:p>
            <w:r>
              <w:rPr>
                <w:rFonts w:ascii="Calibri" w:hAnsi="Calibri"/>
                <w:b/>
                <w:color w:val="FFFFFF"/>
                <w:sz w:val="17"/>
              </w:rPr>
              <w:t>Metric</w:t>
            </w:r>
          </w:p>
        </w:tc>
        <w:tc>
          <w:tcPr>
            <w:tcW w:type="dxa" w:w="1728"/>
            <w:shd w:fill="1B365D"/>
            <w:tcMar>
              <w:top w:w="60" w:type="dxa"/>
              <w:bottom w:w="60" w:type="dxa"/>
              <w:left w:w="60" w:type="dxa"/>
              <w:right w:w="60" w:type="dxa"/>
            </w:tcMar>
          </w:tcPr>
          <w:p>
            <w:r>
              <w:rPr>
                <w:rFonts w:ascii="Calibri" w:hAnsi="Calibri"/>
                <w:b/>
                <w:color w:val="FFFFFF"/>
                <w:sz w:val="17"/>
              </w:rPr>
              <w:t>Target Value</w:t>
            </w:r>
          </w:p>
        </w:tc>
        <w:tc>
          <w:tcPr>
            <w:tcW w:type="dxa" w:w="1584"/>
            <w:shd w:fill="1B365D"/>
            <w:tcMar>
              <w:top w:w="60" w:type="dxa"/>
              <w:bottom w:w="60" w:type="dxa"/>
              <w:left w:w="60" w:type="dxa"/>
              <w:right w:w="60" w:type="dxa"/>
            </w:tcMar>
          </w:tcPr>
          <w:p>
            <w:r>
              <w:rPr>
                <w:rFonts w:ascii="Calibri" w:hAnsi="Calibri"/>
                <w:b/>
                <w:color w:val="FFFFFF"/>
                <w:sz w:val="17"/>
              </w:rPr>
              <w:t>Actual Value</w:t>
            </w:r>
          </w:p>
        </w:tc>
        <w:tc>
          <w:tcPr>
            <w:tcW w:type="dxa" w:w="1440"/>
            <w:shd w:fill="1B365D"/>
            <w:tcMar>
              <w:top w:w="60" w:type="dxa"/>
              <w:bottom w:w="60" w:type="dxa"/>
              <w:left w:w="60" w:type="dxa"/>
              <w:right w:w="60" w:type="dxa"/>
            </w:tcMar>
          </w:tcPr>
          <w:p>
            <w:r>
              <w:rPr>
                <w:rFonts w:ascii="Calibri" w:hAnsi="Calibri"/>
                <w:b/>
                <w:color w:val="FFFFFF"/>
                <w:sz w:val="17"/>
              </w:rPr>
              <w:t>Status (Pass / Fail)</w:t>
            </w:r>
          </w:p>
        </w:tc>
        <w:tc>
          <w:tcPr>
            <w:tcW w:type="dxa" w:w="1728"/>
            <w:shd w:fill="1B365D"/>
            <w:tcMar>
              <w:top w:w="60" w:type="dxa"/>
              <w:bottom w:w="60" w:type="dxa"/>
              <w:left w:w="60" w:type="dxa"/>
              <w:right w:w="60" w:type="dxa"/>
            </w:tcMar>
          </w:tcPr>
          <w:p>
            <w:r>
              <w:rPr>
                <w:rFonts w:ascii="Calibri" w:hAnsi="Calibri"/>
                <w:b/>
                <w:color w:val="FFFFFF"/>
                <w:sz w:val="17"/>
              </w:rPr>
              <w:t>Remarks</w:t>
            </w:r>
          </w:p>
        </w:tc>
      </w:tr>
      <w:tr>
        <w:tc>
          <w:tcPr>
            <w:tcW w:type="dxa" w:w="576"/>
            <w:tcMar>
              <w:top w:w="60" w:type="dxa"/>
              <w:bottom w:w="60" w:type="dxa"/>
              <w:left w:w="60" w:type="dxa"/>
              <w:right w:w="60" w:type="dxa"/>
            </w:tcMar>
          </w:tcPr>
          <w:p>
            <w:r>
              <w:rPr>
                <w:rFonts w:ascii="Calibri" w:hAnsi="Calibri"/>
                <w:sz w:val="16"/>
              </w:rPr>
              <w:t>1</w:t>
            </w:r>
          </w:p>
        </w:tc>
        <w:tc>
          <w:tcPr>
            <w:tcW w:type="dxa" w:w="2592"/>
            <w:tcMar>
              <w:top w:w="60" w:type="dxa"/>
              <w:bottom w:w="60" w:type="dxa"/>
              <w:left w:w="60" w:type="dxa"/>
              <w:right w:w="60" w:type="dxa"/>
            </w:tcMar>
          </w:tcPr>
          <w:p>
            <w:r>
              <w:rPr>
                <w:rFonts w:ascii="Calibri" w:hAnsi="Calibri"/>
                <w:sz w:val="16"/>
              </w:rPr>
              <w:t>Workflow Execution Response</w:t>
            </w:r>
          </w:p>
        </w:tc>
        <w:tc>
          <w:tcPr>
            <w:tcW w:type="dxa" w:w="1728"/>
            <w:tcMar>
              <w:top w:w="60" w:type="dxa"/>
              <w:bottom w:w="60" w:type="dxa"/>
              <w:left w:w="60" w:type="dxa"/>
              <w:right w:w="60" w:type="dxa"/>
            </w:tcMar>
          </w:tcPr>
          <w:p>
            <w:r>
              <w:rPr>
                <w:rFonts w:ascii="Calibri" w:hAnsi="Calibri"/>
                <w:sz w:val="16"/>
              </w:rPr>
              <w:t>No functional error observed</w:t>
            </w:r>
          </w:p>
        </w:tc>
        <w:tc>
          <w:tcPr>
            <w:tcW w:type="dxa" w:w="1584"/>
            <w:tcMar>
              <w:top w:w="60" w:type="dxa"/>
              <w:bottom w:w="60" w:type="dxa"/>
              <w:left w:w="60" w:type="dxa"/>
              <w:right w:w="60" w:type="dxa"/>
            </w:tcMar>
          </w:tcPr>
          <w:p>
            <w:r>
              <w:rPr>
                <w:rFonts w:ascii="Calibri" w:hAnsi="Calibri"/>
                <w:sz w:val="16"/>
              </w:rPr>
              <w:t>Validated manually</w:t>
            </w:r>
          </w:p>
        </w:tc>
        <w:tc>
          <w:tcPr>
            <w:tcW w:type="dxa" w:w="1440"/>
            <w:tcMar>
              <w:top w:w="60" w:type="dxa"/>
              <w:bottom w:w="60" w:type="dxa"/>
              <w:left w:w="60" w:type="dxa"/>
              <w:right w:w="60" w:type="dxa"/>
            </w:tcMar>
          </w:tcPr>
          <w:p>
            <w:r>
              <w:rPr>
                <w:rFonts w:ascii="Calibri" w:hAnsi="Calibri"/>
                <w:b/>
                <w:color w:val="2E7D32"/>
                <w:sz w:val="16"/>
              </w:rPr>
              <w:t>Pass</w:t>
            </w:r>
          </w:p>
        </w:tc>
        <w:tc>
          <w:tcPr>
            <w:tcW w:type="dxa" w:w="1728"/>
            <w:tcMar>
              <w:top w:w="60" w:type="dxa"/>
              <w:bottom w:w="60" w:type="dxa"/>
              <w:left w:w="60" w:type="dxa"/>
              <w:right w:w="60" w:type="dxa"/>
            </w:tcMar>
          </w:tcPr>
          <w:p>
            <w:r>
              <w:rPr>
                <w:rFonts w:ascii="Calibri" w:hAnsi="Calibri"/>
                <w:sz w:val="16"/>
              </w:rPr>
              <w:t>Flow Designer executed as expected.</w:t>
            </w:r>
          </w:p>
        </w:tc>
      </w:tr>
      <w:tr>
        <w:tc>
          <w:tcPr>
            <w:tcW w:type="dxa" w:w="576"/>
            <w:tcMar>
              <w:top w:w="60" w:type="dxa"/>
              <w:bottom w:w="60" w:type="dxa"/>
              <w:left w:w="60" w:type="dxa"/>
              <w:right w:w="60" w:type="dxa"/>
            </w:tcMar>
            <w:shd w:fill="F9FAFB"/>
          </w:tcPr>
          <w:p>
            <w:r>
              <w:rPr>
                <w:rFonts w:ascii="Calibri" w:hAnsi="Calibri"/>
                <w:sz w:val="16"/>
              </w:rPr>
              <w:t>2</w:t>
            </w:r>
          </w:p>
        </w:tc>
        <w:tc>
          <w:tcPr>
            <w:tcW w:type="dxa" w:w="2592"/>
            <w:tcMar>
              <w:top w:w="60" w:type="dxa"/>
              <w:bottom w:w="60" w:type="dxa"/>
              <w:left w:w="60" w:type="dxa"/>
              <w:right w:w="60" w:type="dxa"/>
            </w:tcMar>
            <w:shd w:fill="F9FAFB"/>
          </w:tcPr>
          <w:p>
            <w:r>
              <w:rPr>
                <w:rFonts w:ascii="Calibri" w:hAnsi="Calibri"/>
                <w:sz w:val="16"/>
              </w:rPr>
              <w:t>Repeated Execution Consistency</w:t>
            </w:r>
          </w:p>
        </w:tc>
        <w:tc>
          <w:tcPr>
            <w:tcW w:type="dxa" w:w="1728"/>
            <w:tcMar>
              <w:top w:w="60" w:type="dxa"/>
              <w:bottom w:w="60" w:type="dxa"/>
              <w:left w:w="60" w:type="dxa"/>
              <w:right w:w="60" w:type="dxa"/>
            </w:tcMar>
            <w:shd w:fill="F9FAFB"/>
          </w:tcPr>
          <w:p>
            <w:r>
              <w:rPr>
                <w:rFonts w:ascii="Calibri" w:hAnsi="Calibri"/>
                <w:sz w:val="16"/>
              </w:rPr>
              <w:t>Consistent result</w:t>
            </w:r>
          </w:p>
        </w:tc>
        <w:tc>
          <w:tcPr>
            <w:tcW w:type="dxa" w:w="1584"/>
            <w:tcMar>
              <w:top w:w="60" w:type="dxa"/>
              <w:bottom w:w="60" w:type="dxa"/>
              <w:left w:w="60" w:type="dxa"/>
              <w:right w:w="60" w:type="dxa"/>
            </w:tcMar>
            <w:shd w:fill="F9FAFB"/>
          </w:tcPr>
          <w:p>
            <w:r>
              <w:rPr>
                <w:rFonts w:ascii="Calibri" w:hAnsi="Calibri"/>
                <w:sz w:val="16"/>
              </w:rPr>
              <w:t>Consistent during validation</w:t>
            </w:r>
          </w:p>
        </w:tc>
        <w:tc>
          <w:tcPr>
            <w:tcW w:type="dxa" w:w="1440"/>
            <w:tcMar>
              <w:top w:w="60" w:type="dxa"/>
              <w:bottom w:w="60" w:type="dxa"/>
              <w:left w:w="60" w:type="dxa"/>
              <w:right w:w="60" w:type="dxa"/>
            </w:tcMar>
            <w:shd w:fill="F9FAFB"/>
          </w:tcPr>
          <w:p>
            <w:r>
              <w:rPr>
                <w:rFonts w:ascii="Calibri" w:hAnsi="Calibri"/>
                <w:b/>
                <w:color w:val="2E7D32"/>
                <w:sz w:val="16"/>
              </w:rPr>
              <w:t>Pass</w:t>
            </w:r>
          </w:p>
        </w:tc>
        <w:tc>
          <w:tcPr>
            <w:tcW w:type="dxa" w:w="1728"/>
            <w:tcMar>
              <w:top w:w="60" w:type="dxa"/>
              <w:bottom w:w="60" w:type="dxa"/>
              <w:left w:w="60" w:type="dxa"/>
              <w:right w:w="60" w:type="dxa"/>
            </w:tcMar>
            <w:shd w:fill="F9FAFB"/>
          </w:tcPr>
          <w:p>
            <w:r>
              <w:rPr>
                <w:rFonts w:ascii="Calibri" w:hAnsi="Calibri"/>
                <w:sz w:val="16"/>
              </w:rPr>
              <w:t>Same order trigger produced consistent behavior.</w:t>
            </w:r>
          </w:p>
        </w:tc>
      </w:tr>
      <w:tr>
        <w:tc>
          <w:tcPr>
            <w:tcW w:type="dxa" w:w="576"/>
            <w:tcMar>
              <w:top w:w="60" w:type="dxa"/>
              <w:bottom w:w="60" w:type="dxa"/>
              <w:left w:w="60" w:type="dxa"/>
              <w:right w:w="60" w:type="dxa"/>
            </w:tcMar>
          </w:tcPr>
          <w:p>
            <w:r>
              <w:rPr>
                <w:rFonts w:ascii="Calibri" w:hAnsi="Calibri"/>
                <w:sz w:val="16"/>
              </w:rPr>
              <w:t>3</w:t>
            </w:r>
          </w:p>
        </w:tc>
        <w:tc>
          <w:tcPr>
            <w:tcW w:type="dxa" w:w="2592"/>
            <w:tcMar>
              <w:top w:w="60" w:type="dxa"/>
              <w:bottom w:w="60" w:type="dxa"/>
              <w:left w:w="60" w:type="dxa"/>
              <w:right w:w="60" w:type="dxa"/>
            </w:tcMar>
          </w:tcPr>
          <w:p>
            <w:r>
              <w:rPr>
                <w:rFonts w:ascii="Calibri" w:hAnsi="Calibri"/>
                <w:sz w:val="16"/>
              </w:rPr>
              <w:t>Order &amp; Task Handling</w:t>
            </w:r>
          </w:p>
        </w:tc>
        <w:tc>
          <w:tcPr>
            <w:tcW w:type="dxa" w:w="1728"/>
            <w:tcMar>
              <w:top w:w="60" w:type="dxa"/>
              <w:bottom w:w="60" w:type="dxa"/>
              <w:left w:w="60" w:type="dxa"/>
              <w:right w:w="60" w:type="dxa"/>
            </w:tcMar>
          </w:tcPr>
          <w:p>
            <w:r>
              <w:rPr>
                <w:rFonts w:ascii="Calibri" w:hAnsi="Calibri"/>
                <w:sz w:val="16"/>
              </w:rPr>
              <w:t>Correct allow/deny behavior</w:t>
            </w:r>
          </w:p>
        </w:tc>
        <w:tc>
          <w:tcPr>
            <w:tcW w:type="dxa" w:w="1584"/>
            <w:tcMar>
              <w:top w:w="60" w:type="dxa"/>
              <w:bottom w:w="60" w:type="dxa"/>
              <w:left w:w="60" w:type="dxa"/>
              <w:right w:w="60" w:type="dxa"/>
            </w:tcMar>
          </w:tcPr>
          <w:p>
            <w:r>
              <w:rPr>
                <w:rFonts w:ascii="Calibri" w:hAnsi="Calibri"/>
                <w:sz w:val="16"/>
              </w:rPr>
              <w:t>Validated manually</w:t>
            </w:r>
          </w:p>
        </w:tc>
        <w:tc>
          <w:tcPr>
            <w:tcW w:type="dxa" w:w="1440"/>
            <w:tcMar>
              <w:top w:w="60" w:type="dxa"/>
              <w:bottom w:w="60" w:type="dxa"/>
              <w:left w:w="60" w:type="dxa"/>
              <w:right w:w="60" w:type="dxa"/>
            </w:tcMar>
          </w:tcPr>
          <w:p>
            <w:r>
              <w:rPr>
                <w:rFonts w:ascii="Calibri" w:hAnsi="Calibri"/>
                <w:b/>
                <w:color w:val="2E7D32"/>
                <w:sz w:val="16"/>
              </w:rPr>
              <w:t>Pass</w:t>
            </w:r>
          </w:p>
        </w:tc>
        <w:tc>
          <w:tcPr>
            <w:tcW w:type="dxa" w:w="1728"/>
            <w:tcMar>
              <w:top w:w="60" w:type="dxa"/>
              <w:bottom w:w="60" w:type="dxa"/>
              <w:left w:w="60" w:type="dxa"/>
              <w:right w:w="60" w:type="dxa"/>
            </w:tcMar>
          </w:tcPr>
          <w:p>
            <w:r>
              <w:rPr>
                <w:rFonts w:ascii="Calibri" w:hAnsi="Calibri"/>
                <w:sz w:val="16"/>
              </w:rPr>
              <w:t>Permitted orders and tasks were created correctly.</w:t>
            </w:r>
          </w:p>
        </w:tc>
      </w:tr>
      <w:tr>
        <w:tc>
          <w:tcPr>
            <w:tcW w:type="dxa" w:w="576"/>
            <w:tcMar>
              <w:top w:w="60" w:type="dxa"/>
              <w:bottom w:w="60" w:type="dxa"/>
              <w:left w:w="60" w:type="dxa"/>
              <w:right w:w="60" w:type="dxa"/>
            </w:tcMar>
            <w:shd w:fill="F9FAFB"/>
          </w:tcPr>
          <w:p>
            <w:r>
              <w:rPr>
                <w:rFonts w:ascii="Calibri" w:hAnsi="Calibri"/>
                <w:sz w:val="16"/>
              </w:rPr>
              <w:t>4</w:t>
            </w:r>
          </w:p>
        </w:tc>
        <w:tc>
          <w:tcPr>
            <w:tcW w:type="dxa" w:w="2592"/>
            <w:tcMar>
              <w:top w:w="60" w:type="dxa"/>
              <w:bottom w:w="60" w:type="dxa"/>
              <w:left w:w="60" w:type="dxa"/>
              <w:right w:w="60" w:type="dxa"/>
            </w:tcMar>
            <w:shd w:fill="F9FAFB"/>
          </w:tcPr>
          <w:p>
            <w:r>
              <w:rPr>
                <w:rFonts w:ascii="Calibri" w:hAnsi="Calibri"/>
                <w:sz w:val="16"/>
              </w:rPr>
              <w:t>Error Rate</w:t>
            </w:r>
          </w:p>
        </w:tc>
        <w:tc>
          <w:tcPr>
            <w:tcW w:type="dxa" w:w="1728"/>
            <w:tcMar>
              <w:top w:w="60" w:type="dxa"/>
              <w:bottom w:w="60" w:type="dxa"/>
              <w:left w:w="60" w:type="dxa"/>
              <w:right w:w="60" w:type="dxa"/>
            </w:tcMar>
            <w:shd w:fill="F9FAFB"/>
          </w:tcPr>
          <w:p>
            <w:r>
              <w:rPr>
                <w:rFonts w:ascii="Calibri" w:hAnsi="Calibri"/>
                <w:sz w:val="16"/>
              </w:rPr>
              <w:t>No Flow-related functional error</w:t>
            </w:r>
          </w:p>
        </w:tc>
        <w:tc>
          <w:tcPr>
            <w:tcW w:type="dxa" w:w="1584"/>
            <w:tcMar>
              <w:top w:w="60" w:type="dxa"/>
              <w:bottom w:w="60" w:type="dxa"/>
              <w:left w:w="60" w:type="dxa"/>
              <w:right w:w="60" w:type="dxa"/>
            </w:tcMar>
            <w:shd w:fill="F9FAFB"/>
          </w:tcPr>
          <w:p>
            <w:r>
              <w:rPr>
                <w:rFonts w:ascii="Calibri" w:hAnsi="Calibri"/>
                <w:sz w:val="16"/>
              </w:rPr>
              <w:t>No observed workflow error</w:t>
            </w:r>
          </w:p>
        </w:tc>
        <w:tc>
          <w:tcPr>
            <w:tcW w:type="dxa" w:w="1440"/>
            <w:tcMar>
              <w:top w:w="60" w:type="dxa"/>
              <w:bottom w:w="60" w:type="dxa"/>
              <w:left w:w="60" w:type="dxa"/>
              <w:right w:w="60" w:type="dxa"/>
            </w:tcMar>
            <w:shd w:fill="F9FAFB"/>
          </w:tcPr>
          <w:p>
            <w:r>
              <w:rPr>
                <w:rFonts w:ascii="Calibri" w:hAnsi="Calibri"/>
                <w:b/>
                <w:color w:val="2E7D32"/>
                <w:sz w:val="16"/>
              </w:rPr>
              <w:t>Pass</w:t>
            </w:r>
          </w:p>
        </w:tc>
        <w:tc>
          <w:tcPr>
            <w:tcW w:type="dxa" w:w="1728"/>
            <w:tcMar>
              <w:top w:w="60" w:type="dxa"/>
              <w:bottom w:w="60" w:type="dxa"/>
              <w:left w:w="60" w:type="dxa"/>
              <w:right w:w="60" w:type="dxa"/>
            </w:tcMar>
            <w:shd w:fill="F9FAFB"/>
          </w:tcPr>
          <w:p>
            <w:r>
              <w:rPr>
                <w:rFonts w:ascii="Calibri" w:hAnsi="Calibri"/>
                <w:sz w:val="16"/>
              </w:rPr>
              <w:t>No automation error observed during validation.</w:t>
            </w:r>
          </w:p>
        </w:tc>
      </w:tr>
      <w:tr>
        <w:tc>
          <w:tcPr>
            <w:tcW w:type="dxa" w:w="576"/>
            <w:tcMar>
              <w:top w:w="60" w:type="dxa"/>
              <w:bottom w:w="60" w:type="dxa"/>
              <w:left w:w="60" w:type="dxa"/>
              <w:right w:w="60" w:type="dxa"/>
            </w:tcMar>
          </w:tcPr>
          <w:p>
            <w:r>
              <w:rPr>
                <w:rFonts w:ascii="Calibri" w:hAnsi="Calibri"/>
                <w:sz w:val="16"/>
              </w:rPr>
              <w:t>5</w:t>
            </w:r>
          </w:p>
        </w:tc>
        <w:tc>
          <w:tcPr>
            <w:tcW w:type="dxa" w:w="2592"/>
            <w:tcMar>
              <w:top w:w="60" w:type="dxa"/>
              <w:bottom w:w="60" w:type="dxa"/>
              <w:left w:w="60" w:type="dxa"/>
              <w:right w:w="60" w:type="dxa"/>
            </w:tcMar>
          </w:tcPr>
          <w:p>
            <w:r>
              <w:rPr>
                <w:rFonts w:ascii="Calibri" w:hAnsi="Calibri"/>
                <w:sz w:val="16"/>
              </w:rPr>
              <w:t>Catalog Rule Evaluation</w:t>
            </w:r>
          </w:p>
        </w:tc>
        <w:tc>
          <w:tcPr>
            <w:tcW w:type="dxa" w:w="1728"/>
            <w:tcMar>
              <w:top w:w="60" w:type="dxa"/>
              <w:bottom w:w="60" w:type="dxa"/>
              <w:left w:w="60" w:type="dxa"/>
              <w:right w:w="60" w:type="dxa"/>
            </w:tcMar>
          </w:tcPr>
          <w:p>
            <w:r>
              <w:rPr>
                <w:rFonts w:ascii="Calibri" w:hAnsi="Calibri"/>
                <w:sz w:val="16"/>
              </w:rPr>
              <w:t>Configured condition evaluated</w:t>
            </w:r>
          </w:p>
        </w:tc>
        <w:tc>
          <w:tcPr>
            <w:tcW w:type="dxa" w:w="1584"/>
            <w:tcMar>
              <w:top w:w="60" w:type="dxa"/>
              <w:bottom w:w="60" w:type="dxa"/>
              <w:left w:w="60" w:type="dxa"/>
              <w:right w:w="60" w:type="dxa"/>
            </w:tcMar>
          </w:tcPr>
          <w:p>
            <w:r>
              <w:rPr>
                <w:rFonts w:ascii="Calibri" w:hAnsi="Calibri"/>
                <w:sz w:val="16"/>
              </w:rPr>
              <w:t>Validated manually</w:t>
            </w:r>
          </w:p>
        </w:tc>
        <w:tc>
          <w:tcPr>
            <w:tcW w:type="dxa" w:w="1440"/>
            <w:tcMar>
              <w:top w:w="60" w:type="dxa"/>
              <w:bottom w:w="60" w:type="dxa"/>
              <w:left w:w="60" w:type="dxa"/>
              <w:right w:w="60" w:type="dxa"/>
            </w:tcMar>
          </w:tcPr>
          <w:p>
            <w:r>
              <w:rPr>
                <w:rFonts w:ascii="Calibri" w:hAnsi="Calibri"/>
                <w:b/>
                <w:color w:val="2E7D32"/>
                <w:sz w:val="16"/>
              </w:rPr>
              <w:t>Pass</w:t>
            </w:r>
          </w:p>
        </w:tc>
        <w:tc>
          <w:tcPr>
            <w:tcW w:type="dxa" w:w="1728"/>
            <w:tcMar>
              <w:top w:w="60" w:type="dxa"/>
              <w:bottom w:w="60" w:type="dxa"/>
              <w:left w:w="60" w:type="dxa"/>
              <w:right w:w="60" w:type="dxa"/>
            </w:tcMar>
          </w:tcPr>
          <w:p>
            <w:r>
              <w:rPr>
                <w:rFonts w:ascii="Calibri" w:hAnsi="Calibri"/>
                <w:sz w:val="16"/>
              </w:rPr>
              <w:t>Manager lookup and CMDB check were evaluated.</w:t>
            </w:r>
          </w:p>
        </w:tc>
      </w:tr>
      <w:tr>
        <w:tc>
          <w:tcPr>
            <w:tcW w:type="dxa" w:w="576"/>
            <w:tcMar>
              <w:top w:w="60" w:type="dxa"/>
              <w:bottom w:w="60" w:type="dxa"/>
              <w:left w:w="60" w:type="dxa"/>
              <w:right w:w="60" w:type="dxa"/>
            </w:tcMar>
            <w:shd w:fill="F9FAFB"/>
          </w:tcPr>
          <w:p>
            <w:r>
              <w:rPr>
                <w:rFonts w:ascii="Calibri" w:hAnsi="Calibri"/>
                <w:sz w:val="16"/>
              </w:rPr>
              <w:t>6</w:t>
            </w:r>
          </w:p>
        </w:tc>
        <w:tc>
          <w:tcPr>
            <w:tcW w:type="dxa" w:w="2592"/>
            <w:tcMar>
              <w:top w:w="60" w:type="dxa"/>
              <w:bottom w:w="60" w:type="dxa"/>
              <w:left w:w="60" w:type="dxa"/>
              <w:right w:w="60" w:type="dxa"/>
            </w:tcMar>
            <w:shd w:fill="F9FAFB"/>
          </w:tcPr>
          <w:p>
            <w:r>
              <w:rPr>
                <w:rFonts w:ascii="Calibri" w:hAnsi="Calibri"/>
                <w:sz w:val="16"/>
              </w:rPr>
              <w:t>Security &amp; Access Protection</w:t>
            </w:r>
          </w:p>
        </w:tc>
        <w:tc>
          <w:tcPr>
            <w:tcW w:type="dxa" w:w="1728"/>
            <w:tcMar>
              <w:top w:w="60" w:type="dxa"/>
              <w:bottom w:w="60" w:type="dxa"/>
              <w:left w:w="60" w:type="dxa"/>
              <w:right w:w="60" w:type="dxa"/>
            </w:tcMar>
            <w:shd w:fill="F9FAFB"/>
          </w:tcPr>
          <w:p>
            <w:r>
              <w:rPr>
                <w:rFonts w:ascii="Calibri" w:hAnsi="Calibri"/>
                <w:sz w:val="16"/>
              </w:rPr>
              <w:t>Restricted options not exposed</w:t>
            </w:r>
          </w:p>
        </w:tc>
        <w:tc>
          <w:tcPr>
            <w:tcW w:type="dxa" w:w="1584"/>
            <w:tcMar>
              <w:top w:w="60" w:type="dxa"/>
              <w:bottom w:w="60" w:type="dxa"/>
              <w:left w:w="60" w:type="dxa"/>
              <w:right w:w="60" w:type="dxa"/>
            </w:tcMar>
            <w:shd w:fill="F9FAFB"/>
          </w:tcPr>
          <w:p>
            <w:r>
              <w:rPr>
                <w:rFonts w:ascii="Calibri" w:hAnsi="Calibri"/>
                <w:sz w:val="16"/>
              </w:rPr>
              <w:t>Validated manually</w:t>
            </w:r>
          </w:p>
        </w:tc>
        <w:tc>
          <w:tcPr>
            <w:tcW w:type="dxa" w:w="1440"/>
            <w:tcMar>
              <w:top w:w="60" w:type="dxa"/>
              <w:bottom w:w="60" w:type="dxa"/>
              <w:left w:w="60" w:type="dxa"/>
              <w:right w:w="60" w:type="dxa"/>
            </w:tcMar>
            <w:shd w:fill="F9FAFB"/>
          </w:tcPr>
          <w:p>
            <w:r>
              <w:rPr>
                <w:rFonts w:ascii="Calibri" w:hAnsi="Calibri"/>
                <w:b/>
                <w:color w:val="2E7D32"/>
                <w:sz w:val="16"/>
              </w:rPr>
              <w:t>Pass</w:t>
            </w:r>
          </w:p>
        </w:tc>
        <w:tc>
          <w:tcPr>
            <w:tcW w:type="dxa" w:w="1728"/>
            <w:tcMar>
              <w:top w:w="60" w:type="dxa"/>
              <w:bottom w:w="60" w:type="dxa"/>
              <w:left w:w="60" w:type="dxa"/>
              <w:right w:w="60" w:type="dxa"/>
            </w:tcMar>
            <w:shd w:fill="F9FAFB"/>
          </w:tcPr>
          <w:p>
            <w:r>
              <w:rPr>
                <w:rFonts w:ascii="Calibri" w:hAnsi="Calibri"/>
                <w:sz w:val="16"/>
              </w:rPr>
              <w:t>Unauthorized orders were prevented.</w:t>
            </w:r>
          </w:p>
        </w:tc>
      </w:tr>
    </w:tbl>
    <w:p>
      <w:pPr>
        <w:spacing w:after="240"/>
      </w:pPr>
    </w:p>
    <w:p>
      <w:pPr>
        <w:spacing w:after="120"/>
      </w:pPr>
      <w:r>
        <w:rPr>
          <w:rFonts w:ascii="Calibri" w:hAnsi="Calibri"/>
          <w:b/>
          <w:color w:val="1B365D"/>
          <w:sz w:val="24"/>
        </w:rPr>
        <w:t>Step 4: Observations &amp; Analysis</w:t>
      </w:r>
    </w:p>
    <w:p>
      <w:pPr>
        <w:spacing w:after="80"/>
      </w:pPr>
      <w:r>
        <w:rPr>
          <w:b/>
        </w:rPr>
        <w:t xml:space="preserve">Key Findings: </w:t>
      </w:r>
      <w:r>
        <w:t>Flow Designer evaluated the configured catalog trigger conditions, manager routing logic, and CMDB inventory lookup. Permitted laptop requests created RITM and SCTASK records seamlessly, while unauthorized requests were blocked.</w:t>
      </w:r>
    </w:p>
    <w:p>
      <w:pPr>
        <w:spacing w:after="80"/>
      </w:pPr>
      <w:r>
        <w:rPr>
          <w:b/>
        </w:rPr>
        <w:t xml:space="preserve">Bottlenecks Identified: </w:t>
      </w:r>
      <w:r>
        <w:t>No specific Flow Designer automation bottleneck was observed during manual validation. Exact server execution time measurements were within acceptable platform limits.</w:t>
      </w:r>
    </w:p>
    <w:p>
      <w:pPr>
        <w:spacing w:after="240"/>
      </w:pPr>
      <w:r>
        <w:rPr>
          <w:b/>
        </w:rPr>
        <w:t xml:space="preserve">Optimization Steps Taken: </w:t>
      </w:r>
      <w:r>
        <w:t>The workflow utilizes optimized lookup actions and indexed CMDB asset queries to keep execution fast, scalable, and maintainable.</w:t>
      </w:r>
    </w:p>
    <w:p>
      <w:pPr>
        <w:spacing w:after="120"/>
      </w:pPr>
      <w:r>
        <w:rPr>
          <w:rFonts w:ascii="Calibri" w:hAnsi="Calibri"/>
          <w:b/>
          <w:color w:val="1B365D"/>
          <w:sz w:val="24"/>
        </w:rPr>
        <w:t>Step 5: Screenshots / Evidence</w:t>
      </w:r>
    </w:p>
    <w:p>
      <w:pPr>
        <w:spacing w:after="80"/>
      </w:pPr>
      <w:r>
        <w:t>Flow Designer Configuration</w:t>
      </w:r>
    </w:p>
    <w:p>
      <w:pPr>
        <w:spacing w:after="200"/>
        <w:jc w:val="center"/>
      </w:pPr>
      <w:r>
        <w:drawing>
          <wp:inline xmlns:a="http://schemas.openxmlformats.org/drawingml/2006/main" xmlns:pic="http://schemas.openxmlformats.org/drawingml/2006/picture">
            <wp:extent cx="4572000" cy="2493818"/>
            <wp:docPr id="1" name="Picture 1"/>
            <wp:cNvGraphicFramePr>
              <a:graphicFrameLocks noChangeAspect="1"/>
            </wp:cNvGraphicFramePr>
            <a:graphic>
              <a:graphicData uri="http://schemas.openxmlformats.org/drawingml/2006/picture">
                <pic:pic>
                  <pic:nvPicPr>
                    <pic:cNvPr id="0" name="flow_config_perf.png"/>
                    <pic:cNvPicPr/>
                  </pic:nvPicPr>
                  <pic:blipFill>
                    <a:blip r:embed="rId9"/>
                    <a:stretch>
                      <a:fillRect/>
                    </a:stretch>
                  </pic:blipFill>
                  <pic:spPr>
                    <a:xfrm>
                      <a:off x="0" y="0"/>
                      <a:ext cx="4572000" cy="2493818"/>
                    </a:xfrm>
                    <a:prstGeom prst="rect"/>
                  </pic:spPr>
                </pic:pic>
              </a:graphicData>
            </a:graphic>
          </wp:inline>
        </w:drawing>
      </w:r>
    </w:p>
    <w:p>
      <w:pPr>
        <w:spacing w:after="80"/>
      </w:pPr>
      <w:r>
        <w:t>Final Access Result</w:t>
      </w:r>
    </w:p>
    <w:p>
      <w:pPr>
        <w:spacing w:after="200"/>
        <w:jc w:val="center"/>
      </w:pPr>
      <w:r>
        <w:drawing>
          <wp:inline xmlns:a="http://schemas.openxmlformats.org/drawingml/2006/main" xmlns:pic="http://schemas.openxmlformats.org/drawingml/2006/picture">
            <wp:extent cx="4572000" cy="2493818"/>
            <wp:docPr id="2" name="Picture 2"/>
            <wp:cNvGraphicFramePr>
              <a:graphicFrameLocks noChangeAspect="1"/>
            </wp:cNvGraphicFramePr>
            <a:graphic>
              <a:graphicData uri="http://schemas.openxmlformats.org/drawingml/2006/picture">
                <pic:pic>
                  <pic:nvPicPr>
                    <pic:cNvPr id="0" name="final_result_perf.png"/>
                    <pic:cNvPicPr/>
                  </pic:nvPicPr>
                  <pic:blipFill>
                    <a:blip r:embed="rId10"/>
                    <a:stretch>
                      <a:fillRect/>
                    </a:stretch>
                  </pic:blipFill>
                  <pic:spPr>
                    <a:xfrm>
                      <a:off x="0" y="0"/>
                      <a:ext cx="4572000" cy="2493818"/>
                    </a:xfrm>
                    <a:prstGeom prst="rect"/>
                  </pic:spPr>
                </pic:pic>
              </a:graphicData>
            </a:graphic>
          </wp:inline>
        </w:drawing>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