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Calibri" w:hAnsi="Calibri"/>
          <w:b/>
          <w:color w:val="646464"/>
          <w:sz w:val="24"/>
        </w:rPr>
        <w:t>Project Design Phase-II</w:t>
        <w:br/>
      </w:r>
      <w:r>
        <w:rPr>
          <w:rFonts w:ascii="Calibri" w:hAnsi="Calibri"/>
          <w:b/>
          <w:color w:val="1B365D"/>
          <w:sz w:val="36"/>
        </w:rPr>
        <w:t>Solution Requirements (Functional &amp; Non-functional)</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484"/>
        <w:gridCol w:w="2484"/>
        <w:gridCol w:w="2484"/>
        <w:gridCol w:w="2484"/>
      </w:tblGrid>
      <w:tr>
        <w:tc>
          <w:tcPr>
            <w:tcW w:type="dxa" w:w="1728"/>
            <w:shd w:fill="F2F4F7"/>
            <w:tcMar>
              <w:top w:w="60" w:type="dxa"/>
              <w:bottom w:w="60" w:type="dxa"/>
              <w:left w:w="80" w:type="dxa"/>
              <w:right w:w="80" w:type="dxa"/>
            </w:tcMar>
          </w:tcPr>
          <w:p>
            <w:r>
              <w:rPr>
                <w:rFonts w:ascii="Calibri" w:hAnsi="Calibri"/>
                <w:b/>
                <w:sz w:val="19"/>
              </w:rPr>
              <w:t>Date</w:t>
            </w:r>
          </w:p>
        </w:tc>
        <w:tc>
          <w:tcPr>
            <w:tcW w:type="dxa" w:w="3312"/>
          </w:tcPr>
          <w:p/>
        </w:tc>
        <w:tc>
          <w:tcPr>
            <w:tcW w:type="dxa" w:w="1728"/>
            <w:shd w:fill="F2F4F7"/>
            <w:tcMar>
              <w:top w:w="60" w:type="dxa"/>
              <w:bottom w:w="60" w:type="dxa"/>
              <w:left w:w="80" w:type="dxa"/>
              <w:right w:w="80" w:type="dxa"/>
            </w:tcMar>
          </w:tcPr>
          <w:p>
            <w:r>
              <w:rPr>
                <w:rFonts w:ascii="Calibri" w:hAnsi="Calibri"/>
                <w:b/>
                <w:sz w:val="19"/>
              </w:rPr>
              <w:t>Team ID</w:t>
            </w:r>
          </w:p>
        </w:tc>
        <w:tc>
          <w:tcPr>
            <w:tcW w:type="dxa" w:w="3312"/>
          </w:tcPr>
          <w:p/>
        </w:tc>
      </w:tr>
      <w:tr>
        <w:tc>
          <w:tcPr>
            <w:tcW w:type="dxa" w:w="1728"/>
            <w:shd w:fill="F2F4F7"/>
            <w:tcMar>
              <w:top w:w="60" w:type="dxa"/>
              <w:bottom w:w="60" w:type="dxa"/>
              <w:left w:w="80" w:type="dxa"/>
              <w:right w:w="80" w:type="dxa"/>
            </w:tcMar>
          </w:tcPr>
          <w:p>
            <w:r>
              <w:rPr>
                <w:rFonts w:ascii="Calibri" w:hAnsi="Calibri"/>
                <w:b/>
                <w:sz w:val="19"/>
              </w:rPr>
              <w:t>Project Name</w:t>
            </w:r>
          </w:p>
        </w:tc>
        <w:tc>
          <w:tcPr>
            <w:tcW w:type="dxa" w:w="3312"/>
          </w:tcPr>
          <w:p/>
        </w:tc>
        <w:tc>
          <w:tcPr>
            <w:tcW w:type="dxa" w:w="1728"/>
            <w:shd w:fill="F2F4F7"/>
            <w:tcMar>
              <w:top w:w="60" w:type="dxa"/>
              <w:bottom w:w="60" w:type="dxa"/>
              <w:left w:w="80" w:type="dxa"/>
              <w:right w:w="80" w:type="dxa"/>
            </w:tcMar>
          </w:tcPr>
          <w:p>
            <w:r>
              <w:rPr>
                <w:rFonts w:ascii="Calibri" w:hAnsi="Calibri"/>
                <w:b/>
                <w:sz w:val="19"/>
              </w:rPr>
              <w:t>Team Size</w:t>
            </w:r>
          </w:p>
        </w:tc>
        <w:tc>
          <w:tcPr>
            <w:tcW w:type="dxa" w:w="3312"/>
          </w:tcPr>
          <w:p/>
        </w:tc>
      </w:tr>
      <w:tr>
        <w:tc>
          <w:tcPr>
            <w:tcW w:type="dxa" w:w="1728"/>
            <w:shd w:fill="F2F4F7"/>
            <w:tcMar>
              <w:top w:w="60" w:type="dxa"/>
              <w:bottom w:w="60" w:type="dxa"/>
              <w:left w:w="80" w:type="dxa"/>
              <w:right w:w="80" w:type="dxa"/>
            </w:tcMar>
          </w:tcPr>
          <w:p>
            <w:r>
              <w:rPr>
                <w:rFonts w:ascii="Calibri" w:hAnsi="Calibri"/>
                <w:b/>
                <w:sz w:val="19"/>
              </w:rPr>
              <w:t>Team Leader</w:t>
            </w:r>
          </w:p>
        </w:tc>
        <w:tc>
          <w:tcPr>
            <w:tcW w:type="dxa" w:w="3312"/>
          </w:tcPr>
          <w:p/>
        </w:tc>
        <w:tc>
          <w:tcPr>
            <w:tcW w:type="dxa" w:w="1728"/>
            <w:shd w:fill="F2F4F7"/>
            <w:tcMar>
              <w:top w:w="60" w:type="dxa"/>
              <w:bottom w:w="60" w:type="dxa"/>
              <w:left w:w="80" w:type="dxa"/>
              <w:right w:w="80" w:type="dxa"/>
            </w:tcMar>
          </w:tcPr>
          <w:p>
            <w:r>
              <w:rPr>
                <w:rFonts w:ascii="Calibri" w:hAnsi="Calibri"/>
                <w:b/>
                <w:sz w:val="19"/>
              </w:rPr>
              <w:t>Team Members</w:t>
            </w:r>
          </w:p>
        </w:tc>
        <w:tc>
          <w:tcPr>
            <w:tcW w:type="dxa" w:w="3312"/>
          </w:tcPr>
          <w:p/>
        </w:tc>
      </w:tr>
    </w:tbl>
    <w:p>
      <w:pPr>
        <w:spacing w:after="240"/>
      </w:pPr>
    </w:p>
    <w:p>
      <w:pPr>
        <w:spacing w:after="80"/>
      </w:pPr>
      <w:r>
        <w:rPr>
          <w:rFonts w:ascii="Calibri" w:hAnsi="Calibri"/>
          <w:b/>
          <w:color w:val="1B365D"/>
          <w:sz w:val="24"/>
        </w:rPr>
        <w:t>Functional Requirements:</w:t>
      </w:r>
    </w:p>
    <w:p>
      <w:pPr>
        <w:spacing w:after="120"/>
      </w:pPr>
      <w:r>
        <w:t>Following are the functional requirements of the proposed solution.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312"/>
        <w:gridCol w:w="3312"/>
        <w:gridCol w:w="3312"/>
      </w:tblGrid>
      <w:tr>
        <w:tc>
          <w:tcPr>
            <w:tcW w:type="dxa" w:w="1152"/>
            <w:shd w:fill="1B365D"/>
            <w:tcMar>
              <w:top w:w="60" w:type="dxa"/>
              <w:bottom w:w="60" w:type="dxa"/>
              <w:left w:w="40" w:type="dxa"/>
              <w:right w:w="40" w:type="dxa"/>
            </w:tcMar>
          </w:tcPr>
          <w:p>
            <w:r>
              <w:rPr>
                <w:rFonts w:ascii="Calibri" w:hAnsi="Calibri"/>
                <w:b/>
                <w:color w:val="FFFFFF"/>
                <w:sz w:val="17"/>
              </w:rPr>
              <w:t>FR No.</w:t>
            </w:r>
          </w:p>
        </w:tc>
        <w:tc>
          <w:tcPr>
            <w:tcW w:type="dxa" w:w="3312"/>
            <w:shd w:fill="1B365D"/>
            <w:tcMar>
              <w:top w:w="60" w:type="dxa"/>
              <w:bottom w:w="60" w:type="dxa"/>
              <w:left w:w="40" w:type="dxa"/>
              <w:right w:w="40" w:type="dxa"/>
            </w:tcMar>
          </w:tcPr>
          <w:p>
            <w:r>
              <w:rPr>
                <w:rFonts w:ascii="Calibri" w:hAnsi="Calibri"/>
                <w:b/>
                <w:color w:val="FFFFFF"/>
                <w:sz w:val="17"/>
              </w:rPr>
              <w:t>Functional Requirement (Epic)</w:t>
            </w:r>
          </w:p>
        </w:tc>
        <w:tc>
          <w:tcPr>
            <w:tcW w:type="dxa" w:w="5328"/>
            <w:shd w:fill="1B365D"/>
            <w:tcMar>
              <w:top w:w="60" w:type="dxa"/>
              <w:bottom w:w="60" w:type="dxa"/>
              <w:left w:w="40" w:type="dxa"/>
              <w:right w:w="40" w:type="dxa"/>
            </w:tcMar>
          </w:tcPr>
          <w:p>
            <w:r>
              <w:rPr>
                <w:rFonts w:ascii="Calibri" w:hAnsi="Calibri"/>
                <w:b/>
                <w:color w:val="FFFFFF"/>
                <w:sz w:val="17"/>
              </w:rPr>
              <w:t>Sub Requirement (Story / Sub-Task)</w:t>
            </w:r>
          </w:p>
        </w:tc>
      </w:tr>
      <w:tr>
        <w:tc>
          <w:tcPr>
            <w:tcW w:type="dxa" w:w="1152"/>
            <w:tcMar>
              <w:top w:w="50" w:type="dxa"/>
              <w:bottom w:w="50" w:type="dxa"/>
              <w:left w:w="40" w:type="dxa"/>
              <w:right w:w="40" w:type="dxa"/>
            </w:tcMar>
          </w:tcPr>
          <w:p>
            <w:r>
              <w:rPr>
                <w:rFonts w:ascii="Calibri" w:hAnsi="Calibri"/>
                <w:b/>
                <w:sz w:val="16"/>
              </w:rPr>
              <w:t>FR-1</w:t>
            </w:r>
          </w:p>
        </w:tc>
        <w:tc>
          <w:tcPr>
            <w:tcW w:type="dxa" w:w="3312"/>
            <w:tcMar>
              <w:top w:w="50" w:type="dxa"/>
              <w:bottom w:w="50" w:type="dxa"/>
              <w:left w:w="40" w:type="dxa"/>
              <w:right w:w="40" w:type="dxa"/>
            </w:tcMar>
          </w:tcPr>
          <w:p>
            <w:r>
              <w:rPr>
                <w:rFonts w:ascii="Calibri" w:hAnsi="Calibri"/>
                <w:sz w:val="16"/>
              </w:rPr>
              <w:t>Service Catalog Configuration</w:t>
            </w:r>
          </w:p>
        </w:tc>
        <w:tc>
          <w:tcPr>
            <w:tcW w:type="dxa" w:w="5328"/>
            <w:tcMar>
              <w:top w:w="50" w:type="dxa"/>
              <w:bottom w:w="50" w:type="dxa"/>
              <w:left w:w="40" w:type="dxa"/>
              <w:right w:w="40" w:type="dxa"/>
            </w:tcMar>
          </w:tcPr>
          <w:p>
            <w:r>
              <w:rPr>
                <w:rFonts w:ascii="Calibri" w:hAnsi="Calibri"/>
                <w:sz w:val="16"/>
              </w:rPr>
              <w:t>• Configure Catalog Item for Standard Business Laptops</w:t>
              <w:br/>
              <w:t>• Define mandatory variable fields (u_laptop_model, u_requested_for, u_justification)</w:t>
              <w:br/>
              <w:t>• Map catalog item access permissions using User Criteria</w:t>
            </w:r>
          </w:p>
        </w:tc>
      </w:tr>
      <w:tr>
        <w:tc>
          <w:tcPr>
            <w:tcW w:type="dxa" w:w="1152"/>
            <w:shd w:fill="F9FAFB"/>
            <w:tcMar>
              <w:top w:w="50" w:type="dxa"/>
              <w:bottom w:w="50" w:type="dxa"/>
              <w:left w:w="40" w:type="dxa"/>
              <w:right w:w="40" w:type="dxa"/>
            </w:tcMar>
          </w:tcPr>
          <w:p>
            <w:r>
              <w:rPr>
                <w:rFonts w:ascii="Calibri" w:hAnsi="Calibri"/>
                <w:b/>
                <w:sz w:val="16"/>
              </w:rPr>
              <w:t>FR-2</w:t>
            </w:r>
          </w:p>
        </w:tc>
        <w:tc>
          <w:tcPr>
            <w:tcW w:type="dxa" w:w="3312"/>
            <w:shd w:fill="F9FAFB"/>
            <w:tcMar>
              <w:top w:w="50" w:type="dxa"/>
              <w:bottom w:w="50" w:type="dxa"/>
              <w:left w:w="40" w:type="dxa"/>
              <w:right w:w="40" w:type="dxa"/>
            </w:tcMar>
          </w:tcPr>
          <w:p>
            <w:r>
              <w:rPr>
                <w:rFonts w:ascii="Calibri" w:hAnsi="Calibri"/>
                <w:sz w:val="16"/>
              </w:rPr>
              <w:t>Flow Designer Workflow Trigger</w:t>
            </w:r>
          </w:p>
        </w:tc>
        <w:tc>
          <w:tcPr>
            <w:tcW w:type="dxa" w:w="5328"/>
            <w:shd w:fill="F9FAFB"/>
            <w:tcMar>
              <w:top w:w="50" w:type="dxa"/>
              <w:bottom w:w="50" w:type="dxa"/>
              <w:left w:w="40" w:type="dxa"/>
              <w:right w:w="40" w:type="dxa"/>
            </w:tcMar>
          </w:tcPr>
          <w:p>
            <w:r>
              <w:rPr>
                <w:rFonts w:ascii="Calibri" w:hAnsi="Calibri"/>
                <w:sz w:val="16"/>
              </w:rPr>
              <w:t>• Set up trigger condition when sc_req_item record is created</w:t>
              <w:br/>
              <w:t>• Look up requester manager details in sys_user table</w:t>
              <w:br/>
              <w:t>• Pass request variables to Flow Designer execution engine</w:t>
            </w:r>
          </w:p>
        </w:tc>
      </w:tr>
      <w:tr>
        <w:tc>
          <w:tcPr>
            <w:tcW w:type="dxa" w:w="1152"/>
            <w:tcMar>
              <w:top w:w="50" w:type="dxa"/>
              <w:bottom w:w="50" w:type="dxa"/>
              <w:left w:w="40" w:type="dxa"/>
              <w:right w:w="40" w:type="dxa"/>
            </w:tcMar>
          </w:tcPr>
          <w:p>
            <w:r>
              <w:rPr>
                <w:rFonts w:ascii="Calibri" w:hAnsi="Calibri"/>
                <w:b/>
                <w:sz w:val="16"/>
              </w:rPr>
              <w:t>FR-3</w:t>
            </w:r>
          </w:p>
        </w:tc>
        <w:tc>
          <w:tcPr>
            <w:tcW w:type="dxa" w:w="3312"/>
            <w:tcMar>
              <w:top w:w="50" w:type="dxa"/>
              <w:bottom w:w="50" w:type="dxa"/>
              <w:left w:w="40" w:type="dxa"/>
              <w:right w:w="40" w:type="dxa"/>
            </w:tcMar>
          </w:tcPr>
          <w:p>
            <w:r>
              <w:rPr>
                <w:rFonts w:ascii="Calibri" w:hAnsi="Calibri"/>
                <w:sz w:val="16"/>
              </w:rPr>
              <w:t>Automated Approval Routing</w:t>
            </w:r>
          </w:p>
        </w:tc>
        <w:tc>
          <w:tcPr>
            <w:tcW w:type="dxa" w:w="5328"/>
            <w:tcMar>
              <w:top w:w="50" w:type="dxa"/>
              <w:bottom w:w="50" w:type="dxa"/>
              <w:left w:w="40" w:type="dxa"/>
              <w:right w:w="40" w:type="dxa"/>
            </w:tcMar>
          </w:tcPr>
          <w:p>
            <w:r>
              <w:rPr>
                <w:rFonts w:ascii="Calibri" w:hAnsi="Calibri"/>
                <w:sz w:val="16"/>
              </w:rPr>
              <w:t>• Route approval request dynamically to requester's direct manager</w:t>
              <w:br/>
              <w:t>• Send email notifications for pending approvals</w:t>
              <w:br/>
              <w:t>• Process manager decision (Approve or Reject) in real time</w:t>
            </w:r>
          </w:p>
        </w:tc>
      </w:tr>
      <w:tr>
        <w:tc>
          <w:tcPr>
            <w:tcW w:type="dxa" w:w="1152"/>
            <w:shd w:fill="F9FAFB"/>
            <w:tcMar>
              <w:top w:w="50" w:type="dxa"/>
              <w:bottom w:w="50" w:type="dxa"/>
              <w:left w:w="40" w:type="dxa"/>
              <w:right w:w="40" w:type="dxa"/>
            </w:tcMar>
          </w:tcPr>
          <w:p>
            <w:r>
              <w:rPr>
                <w:rFonts w:ascii="Calibri" w:hAnsi="Calibri"/>
                <w:b/>
                <w:sz w:val="16"/>
              </w:rPr>
              <w:t>FR-4</w:t>
            </w:r>
          </w:p>
        </w:tc>
        <w:tc>
          <w:tcPr>
            <w:tcW w:type="dxa" w:w="3312"/>
            <w:shd w:fill="F9FAFB"/>
            <w:tcMar>
              <w:top w:w="50" w:type="dxa"/>
              <w:bottom w:w="50" w:type="dxa"/>
              <w:left w:w="40" w:type="dxa"/>
              <w:right w:w="40" w:type="dxa"/>
            </w:tcMar>
          </w:tcPr>
          <w:p>
            <w:r>
              <w:rPr>
                <w:rFonts w:ascii="Calibri" w:hAnsi="Calibri"/>
                <w:sz w:val="16"/>
              </w:rPr>
              <w:t>CMDB Hardware Stock Evaluation</w:t>
            </w:r>
          </w:p>
        </w:tc>
        <w:tc>
          <w:tcPr>
            <w:tcW w:type="dxa" w:w="5328"/>
            <w:shd w:fill="F9FAFB"/>
            <w:tcMar>
              <w:top w:w="50" w:type="dxa"/>
              <w:bottom w:w="50" w:type="dxa"/>
              <w:left w:w="40" w:type="dxa"/>
              <w:right w:w="40" w:type="dxa"/>
            </w:tcMar>
          </w:tcPr>
          <w:p>
            <w:r>
              <w:rPr>
                <w:rFonts w:ascii="Calibri" w:hAnsi="Calibri"/>
                <w:sz w:val="16"/>
              </w:rPr>
              <w:t>• Query alm_hardware table for in-stock laptop inventory</w:t>
              <w:br/>
              <w:t>• Evaluate hardware serial numbers and availability</w:t>
              <w:br/>
              <w:t>• Branch flow based on stock status (In Stock vs. Back-order)</w:t>
            </w:r>
          </w:p>
        </w:tc>
      </w:tr>
      <w:tr>
        <w:tc>
          <w:tcPr>
            <w:tcW w:type="dxa" w:w="1152"/>
            <w:tcMar>
              <w:top w:w="50" w:type="dxa"/>
              <w:bottom w:w="50" w:type="dxa"/>
              <w:left w:w="40" w:type="dxa"/>
              <w:right w:w="40" w:type="dxa"/>
            </w:tcMar>
          </w:tcPr>
          <w:p>
            <w:r>
              <w:rPr>
                <w:rFonts w:ascii="Calibri" w:hAnsi="Calibri"/>
                <w:b/>
                <w:sz w:val="16"/>
              </w:rPr>
              <w:t>FR-5</w:t>
            </w:r>
          </w:p>
        </w:tc>
        <w:tc>
          <w:tcPr>
            <w:tcW w:type="dxa" w:w="3312"/>
            <w:tcMar>
              <w:top w:w="50" w:type="dxa"/>
              <w:bottom w:w="50" w:type="dxa"/>
              <w:left w:w="40" w:type="dxa"/>
              <w:right w:w="40" w:type="dxa"/>
            </w:tcMar>
          </w:tcPr>
          <w:p>
            <w:r>
              <w:rPr>
                <w:rFonts w:ascii="Calibri" w:hAnsi="Calibri"/>
                <w:sz w:val="16"/>
              </w:rPr>
              <w:t>Automated Task Generation &amp; Audit</w:t>
            </w:r>
          </w:p>
        </w:tc>
        <w:tc>
          <w:tcPr>
            <w:tcW w:type="dxa" w:w="5328"/>
            <w:tcMar>
              <w:top w:w="50" w:type="dxa"/>
              <w:bottom w:w="50" w:type="dxa"/>
              <w:left w:w="40" w:type="dxa"/>
              <w:right w:w="40" w:type="dxa"/>
            </w:tcMar>
          </w:tcPr>
          <w:p>
            <w:r>
              <w:rPr>
                <w:rFonts w:ascii="Calibri" w:hAnsi="Calibri"/>
                <w:sz w:val="16"/>
              </w:rPr>
              <w:t>• Auto-generate Catalog Task [sc_task] upon manager approval</w:t>
              <w:br/>
              <w:t>• Assign SCTASK to IT Hardware Fulfillment team for deployment</w:t>
              <w:br/>
              <w:t>• Log execution context, approval timestamps, and stock records for audit</w:t>
            </w:r>
          </w:p>
        </w:tc>
      </w:tr>
    </w:tbl>
    <w:p>
      <w:pPr>
        <w:spacing w:after="240"/>
      </w:pPr>
    </w:p>
    <w:p>
      <w:pPr>
        <w:spacing w:after="80"/>
      </w:pPr>
      <w:r>
        <w:rPr>
          <w:rFonts w:ascii="Calibri" w:hAnsi="Calibri"/>
          <w:b/>
          <w:color w:val="1B365D"/>
          <w:sz w:val="24"/>
        </w:rPr>
        <w:t>Non-functional Requirements:</w:t>
      </w:r>
    </w:p>
    <w:p>
      <w:pPr>
        <w:spacing w:after="120"/>
      </w:pPr>
      <w:r>
        <w:t>Following are the non-functional requirements of the proposed solution.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312"/>
        <w:gridCol w:w="3312"/>
        <w:gridCol w:w="3312"/>
      </w:tblGrid>
      <w:tr>
        <w:tc>
          <w:tcPr>
            <w:tcW w:type="dxa" w:w="1152"/>
            <w:shd w:fill="1B365D"/>
            <w:tcMar>
              <w:top w:w="60" w:type="dxa"/>
              <w:bottom w:w="60" w:type="dxa"/>
              <w:left w:w="40" w:type="dxa"/>
              <w:right w:w="40" w:type="dxa"/>
            </w:tcMar>
          </w:tcPr>
          <w:p>
            <w:r>
              <w:rPr>
                <w:rFonts w:ascii="Calibri" w:hAnsi="Calibri"/>
                <w:b/>
                <w:color w:val="FFFFFF"/>
                <w:sz w:val="17"/>
              </w:rPr>
              <w:t>NFR No.</w:t>
            </w:r>
          </w:p>
        </w:tc>
        <w:tc>
          <w:tcPr>
            <w:tcW w:type="dxa" w:w="3312"/>
            <w:shd w:fill="1B365D"/>
            <w:tcMar>
              <w:top w:w="60" w:type="dxa"/>
              <w:bottom w:w="60" w:type="dxa"/>
              <w:left w:w="40" w:type="dxa"/>
              <w:right w:w="40" w:type="dxa"/>
            </w:tcMar>
          </w:tcPr>
          <w:p>
            <w:r>
              <w:rPr>
                <w:rFonts w:ascii="Calibri" w:hAnsi="Calibri"/>
                <w:b/>
                <w:color w:val="FFFFFF"/>
                <w:sz w:val="17"/>
              </w:rPr>
              <w:t>Non-Functional Requirement</w:t>
            </w:r>
          </w:p>
        </w:tc>
        <w:tc>
          <w:tcPr>
            <w:tcW w:type="dxa" w:w="5328"/>
            <w:shd w:fill="1B365D"/>
            <w:tcMar>
              <w:top w:w="60" w:type="dxa"/>
              <w:bottom w:w="60" w:type="dxa"/>
              <w:left w:w="40" w:type="dxa"/>
              <w:right w:w="40" w:type="dxa"/>
            </w:tcMar>
          </w:tcPr>
          <w:p>
            <w:r>
              <w:rPr>
                <w:rFonts w:ascii="Calibri" w:hAnsi="Calibri"/>
                <w:b/>
                <w:color w:val="FFFFFF"/>
                <w:sz w:val="17"/>
              </w:rPr>
              <w:t>Description</w:t>
            </w:r>
          </w:p>
        </w:tc>
      </w:tr>
      <w:tr>
        <w:tc>
          <w:tcPr>
            <w:tcW w:type="dxa" w:w="1152"/>
            <w:tcMar>
              <w:top w:w="50" w:type="dxa"/>
              <w:bottom w:w="50" w:type="dxa"/>
              <w:left w:w="40" w:type="dxa"/>
              <w:right w:w="40" w:type="dxa"/>
            </w:tcMar>
          </w:tcPr>
          <w:p>
            <w:r>
              <w:rPr>
                <w:rFonts w:ascii="Calibri" w:hAnsi="Calibri"/>
                <w:b/>
                <w:sz w:val="16"/>
              </w:rPr>
              <w:t>NFR-1</w:t>
            </w:r>
          </w:p>
        </w:tc>
        <w:tc>
          <w:tcPr>
            <w:tcW w:type="dxa" w:w="3312"/>
            <w:tcMar>
              <w:top w:w="50" w:type="dxa"/>
              <w:bottom w:w="50" w:type="dxa"/>
              <w:left w:w="40" w:type="dxa"/>
              <w:right w:w="40" w:type="dxa"/>
            </w:tcMar>
          </w:tcPr>
          <w:p>
            <w:r>
              <w:rPr>
                <w:rFonts w:ascii="Calibri" w:hAnsi="Calibri"/>
                <w:sz w:val="16"/>
              </w:rPr>
              <w:t>Usability</w:t>
            </w:r>
          </w:p>
        </w:tc>
        <w:tc>
          <w:tcPr>
            <w:tcW w:type="dxa" w:w="5328"/>
            <w:tcMar>
              <w:top w:w="50" w:type="dxa"/>
              <w:bottom w:w="50" w:type="dxa"/>
              <w:left w:w="40" w:type="dxa"/>
              <w:right w:w="40" w:type="dxa"/>
            </w:tcMar>
          </w:tcPr>
          <w:p>
            <w:r>
              <w:rPr>
                <w:rFonts w:ascii="Calibri" w:hAnsi="Calibri"/>
                <w:sz w:val="16"/>
              </w:rPr>
              <w:t>Service Portal ordering interface and Flow Designer steps should be clear, intuitive, and simple to navigate.</w:t>
            </w:r>
          </w:p>
        </w:tc>
      </w:tr>
      <w:tr>
        <w:tc>
          <w:tcPr>
            <w:tcW w:type="dxa" w:w="1152"/>
            <w:shd w:fill="F9FAFB"/>
            <w:tcMar>
              <w:top w:w="50" w:type="dxa"/>
              <w:bottom w:w="50" w:type="dxa"/>
              <w:left w:w="40" w:type="dxa"/>
              <w:right w:w="40" w:type="dxa"/>
            </w:tcMar>
          </w:tcPr>
          <w:p>
            <w:r>
              <w:rPr>
                <w:rFonts w:ascii="Calibri" w:hAnsi="Calibri"/>
                <w:b/>
                <w:sz w:val="16"/>
              </w:rPr>
              <w:t>NFR-2</w:t>
            </w:r>
          </w:p>
        </w:tc>
        <w:tc>
          <w:tcPr>
            <w:tcW w:type="dxa" w:w="3312"/>
            <w:shd w:fill="F9FAFB"/>
            <w:tcMar>
              <w:top w:w="50" w:type="dxa"/>
              <w:bottom w:w="50" w:type="dxa"/>
              <w:left w:w="40" w:type="dxa"/>
              <w:right w:w="40" w:type="dxa"/>
            </w:tcMar>
          </w:tcPr>
          <w:p>
            <w:r>
              <w:rPr>
                <w:rFonts w:ascii="Calibri" w:hAnsi="Calibri"/>
                <w:sz w:val="16"/>
              </w:rPr>
              <w:t>Security &amp; Authorization</w:t>
            </w:r>
          </w:p>
        </w:tc>
        <w:tc>
          <w:tcPr>
            <w:tcW w:type="dxa" w:w="5328"/>
            <w:shd w:fill="F9FAFB"/>
            <w:tcMar>
              <w:top w:w="50" w:type="dxa"/>
              <w:bottom w:w="50" w:type="dxa"/>
              <w:left w:w="40" w:type="dxa"/>
              <w:right w:w="40" w:type="dxa"/>
            </w:tcMar>
          </w:tcPr>
          <w:p>
            <w:r>
              <w:rPr>
                <w:rFonts w:ascii="Calibri" w:hAnsi="Calibri"/>
                <w:sz w:val="16"/>
              </w:rPr>
              <w:t>Only authorized employees can request laptops via User Criteria, and requests require mandatory manager sign-off.</w:t>
            </w:r>
          </w:p>
        </w:tc>
      </w:tr>
      <w:tr>
        <w:tc>
          <w:tcPr>
            <w:tcW w:type="dxa" w:w="1152"/>
            <w:tcMar>
              <w:top w:w="50" w:type="dxa"/>
              <w:bottom w:w="50" w:type="dxa"/>
              <w:left w:w="40" w:type="dxa"/>
              <w:right w:w="40" w:type="dxa"/>
            </w:tcMar>
          </w:tcPr>
          <w:p>
            <w:r>
              <w:rPr>
                <w:rFonts w:ascii="Calibri" w:hAnsi="Calibri"/>
                <w:b/>
                <w:sz w:val="16"/>
              </w:rPr>
              <w:t>NFR-3</w:t>
            </w:r>
          </w:p>
        </w:tc>
        <w:tc>
          <w:tcPr>
            <w:tcW w:type="dxa" w:w="3312"/>
            <w:tcMar>
              <w:top w:w="50" w:type="dxa"/>
              <w:bottom w:w="50" w:type="dxa"/>
              <w:left w:w="40" w:type="dxa"/>
              <w:right w:w="40" w:type="dxa"/>
            </w:tcMar>
          </w:tcPr>
          <w:p>
            <w:r>
              <w:rPr>
                <w:rFonts w:ascii="Calibri" w:hAnsi="Calibri"/>
                <w:sz w:val="16"/>
              </w:rPr>
              <w:t>Reliability</w:t>
            </w:r>
          </w:p>
        </w:tc>
        <w:tc>
          <w:tcPr>
            <w:tcW w:type="dxa" w:w="5328"/>
            <w:tcMar>
              <w:top w:w="50" w:type="dxa"/>
              <w:bottom w:w="50" w:type="dxa"/>
              <w:left w:w="40" w:type="dxa"/>
              <w:right w:w="40" w:type="dxa"/>
            </w:tcMar>
          </w:tcPr>
          <w:p>
            <w:r>
              <w:rPr>
                <w:rFonts w:ascii="Calibri" w:hAnsi="Calibri"/>
                <w:sz w:val="16"/>
              </w:rPr>
              <w:t>Flow Designer workflow should consistently execute triggers, approval routing, and task generation without errors.</w:t>
            </w:r>
          </w:p>
        </w:tc>
      </w:tr>
      <w:tr>
        <w:tc>
          <w:tcPr>
            <w:tcW w:type="dxa" w:w="1152"/>
            <w:shd w:fill="F9FAFB"/>
            <w:tcMar>
              <w:top w:w="50" w:type="dxa"/>
              <w:bottom w:w="50" w:type="dxa"/>
              <w:left w:w="40" w:type="dxa"/>
              <w:right w:w="40" w:type="dxa"/>
            </w:tcMar>
          </w:tcPr>
          <w:p>
            <w:r>
              <w:rPr>
                <w:rFonts w:ascii="Calibri" w:hAnsi="Calibri"/>
                <w:b/>
                <w:sz w:val="16"/>
              </w:rPr>
              <w:t>NFR-4</w:t>
            </w:r>
          </w:p>
        </w:tc>
        <w:tc>
          <w:tcPr>
            <w:tcW w:type="dxa" w:w="3312"/>
            <w:shd w:fill="F9FAFB"/>
            <w:tcMar>
              <w:top w:w="50" w:type="dxa"/>
              <w:bottom w:w="50" w:type="dxa"/>
              <w:left w:w="40" w:type="dxa"/>
              <w:right w:w="40" w:type="dxa"/>
            </w:tcMar>
          </w:tcPr>
          <w:p>
            <w:r>
              <w:rPr>
                <w:rFonts w:ascii="Calibri" w:hAnsi="Calibri"/>
                <w:sz w:val="16"/>
              </w:rPr>
              <w:t>Performance</w:t>
            </w:r>
          </w:p>
        </w:tc>
        <w:tc>
          <w:tcPr>
            <w:tcW w:type="dxa" w:w="5328"/>
            <w:shd w:fill="F9FAFB"/>
            <w:tcMar>
              <w:top w:w="50" w:type="dxa"/>
              <w:bottom w:w="50" w:type="dxa"/>
              <w:left w:w="40" w:type="dxa"/>
              <w:right w:w="40" w:type="dxa"/>
            </w:tcMar>
          </w:tcPr>
          <w:p>
            <w:r>
              <w:rPr>
                <w:rFonts w:ascii="Calibri" w:hAnsi="Calibri"/>
                <w:sz w:val="16"/>
              </w:rPr>
              <w:t>Workflow triggering, manager lookup, and SCTASK creation should complete within seconds of catalog order submission.</w:t>
            </w:r>
          </w:p>
        </w:tc>
      </w:tr>
      <w:tr>
        <w:tc>
          <w:tcPr>
            <w:tcW w:type="dxa" w:w="1152"/>
            <w:tcMar>
              <w:top w:w="50" w:type="dxa"/>
              <w:bottom w:w="50" w:type="dxa"/>
              <w:left w:w="40" w:type="dxa"/>
              <w:right w:w="40" w:type="dxa"/>
            </w:tcMar>
          </w:tcPr>
          <w:p>
            <w:r>
              <w:rPr>
                <w:rFonts w:ascii="Calibri" w:hAnsi="Calibri"/>
                <w:b/>
                <w:sz w:val="16"/>
              </w:rPr>
              <w:t>NFR-5</w:t>
            </w:r>
          </w:p>
        </w:tc>
        <w:tc>
          <w:tcPr>
            <w:tcW w:type="dxa" w:w="3312"/>
            <w:tcMar>
              <w:top w:w="50" w:type="dxa"/>
              <w:bottom w:w="50" w:type="dxa"/>
              <w:left w:w="40" w:type="dxa"/>
              <w:right w:w="40" w:type="dxa"/>
            </w:tcMar>
          </w:tcPr>
          <w:p>
            <w:r>
              <w:rPr>
                <w:rFonts w:ascii="Calibri" w:hAnsi="Calibri"/>
                <w:sz w:val="16"/>
              </w:rPr>
              <w:t>Availability</w:t>
            </w:r>
          </w:p>
        </w:tc>
        <w:tc>
          <w:tcPr>
            <w:tcW w:type="dxa" w:w="5328"/>
            <w:tcMar>
              <w:top w:w="50" w:type="dxa"/>
              <w:bottom w:w="50" w:type="dxa"/>
              <w:left w:w="40" w:type="dxa"/>
              <w:right w:w="40" w:type="dxa"/>
            </w:tcMar>
          </w:tcPr>
          <w:p>
            <w:r>
              <w:rPr>
                <w:rFonts w:ascii="Calibri" w:hAnsi="Calibri"/>
                <w:sz w:val="16"/>
              </w:rPr>
              <w:t>Procurement automation flow should remain active and accessible whenever ServiceNow platform is online.</w:t>
            </w:r>
          </w:p>
        </w:tc>
      </w:tr>
      <w:tr>
        <w:tc>
          <w:tcPr>
            <w:tcW w:type="dxa" w:w="1152"/>
            <w:shd w:fill="F9FAFB"/>
            <w:tcMar>
              <w:top w:w="50" w:type="dxa"/>
              <w:bottom w:w="50" w:type="dxa"/>
              <w:left w:w="40" w:type="dxa"/>
              <w:right w:w="40" w:type="dxa"/>
            </w:tcMar>
          </w:tcPr>
          <w:p>
            <w:r>
              <w:rPr>
                <w:rFonts w:ascii="Calibri" w:hAnsi="Calibri"/>
                <w:b/>
                <w:sz w:val="16"/>
              </w:rPr>
              <w:t>NFR-6</w:t>
            </w:r>
          </w:p>
        </w:tc>
        <w:tc>
          <w:tcPr>
            <w:tcW w:type="dxa" w:w="3312"/>
            <w:shd w:fill="F9FAFB"/>
            <w:tcMar>
              <w:top w:w="50" w:type="dxa"/>
              <w:bottom w:w="50" w:type="dxa"/>
              <w:left w:w="40" w:type="dxa"/>
              <w:right w:w="40" w:type="dxa"/>
            </w:tcMar>
          </w:tcPr>
          <w:p>
            <w:r>
              <w:rPr>
                <w:rFonts w:ascii="Calibri" w:hAnsi="Calibri"/>
                <w:sz w:val="16"/>
              </w:rPr>
              <w:t>Scalability</w:t>
            </w:r>
          </w:p>
        </w:tc>
        <w:tc>
          <w:tcPr>
            <w:tcW w:type="dxa" w:w="5328"/>
            <w:shd w:fill="F9FAFB"/>
            <w:tcMar>
              <w:top w:w="50" w:type="dxa"/>
              <w:bottom w:w="50" w:type="dxa"/>
              <w:left w:w="40" w:type="dxa"/>
              <w:right w:w="40" w:type="dxa"/>
            </w:tcMar>
          </w:tcPr>
          <w:p>
            <w:r>
              <w:rPr>
                <w:rFonts w:ascii="Calibri" w:hAnsi="Calibri"/>
                <w:sz w:val="16"/>
              </w:rPr>
              <w:t>Workflow logic should support scaling across high transaction volumes, additional hardware items, and global teams.</w:t>
            </w:r>
          </w:p>
        </w:tc>
      </w:tr>
    </w:tbl>
    <w:p>
      <w:pPr>
        <w:spacing w:after="280"/>
      </w:pPr>
    </w:p>
    <w:p>
      <w:pPr>
        <w:spacing w:after="160"/>
      </w:pPr>
      <w:r>
        <w:rPr>
          <w:rFonts w:ascii="Calibri" w:hAnsi="Calibri"/>
          <w:b/>
          <w:color w:val="1B365D"/>
          <w:sz w:val="26"/>
        </w:rPr>
        <w:t>Project Design Phase-II</w:t>
        <w:br/>
        <w:t>Solution Requirements – Detailed Acceptance Criteria</w:t>
      </w:r>
    </w:p>
    <w:p>
      <w:pPr>
        <w:spacing w:after="80"/>
      </w:pPr>
      <w:r>
        <w:rPr>
          <w:rFonts w:ascii="Calibri" w:hAnsi="Calibri"/>
          <w:b/>
          <w:color w:val="1B365D"/>
          <w:sz w:val="22"/>
        </w:rPr>
        <w:t>Functional Requirement Acceptance Criteria:</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312"/>
        <w:gridCol w:w="3312"/>
        <w:gridCol w:w="3312"/>
      </w:tblGrid>
      <w:tr>
        <w:tc>
          <w:tcPr>
            <w:tcW w:type="dxa" w:w="1152"/>
            <w:shd w:fill="1B365D"/>
            <w:tcMar>
              <w:top w:w="60" w:type="dxa"/>
              <w:bottom w:w="60" w:type="dxa"/>
              <w:left w:w="40" w:type="dxa"/>
              <w:right w:w="40" w:type="dxa"/>
            </w:tcMar>
          </w:tcPr>
          <w:p>
            <w:r>
              <w:rPr>
                <w:rFonts w:ascii="Calibri" w:hAnsi="Calibri"/>
                <w:b/>
                <w:color w:val="FFFFFF"/>
                <w:sz w:val="17"/>
              </w:rPr>
              <w:t>FR No.</w:t>
            </w:r>
          </w:p>
        </w:tc>
        <w:tc>
          <w:tcPr>
            <w:tcW w:type="dxa" w:w="3312"/>
            <w:shd w:fill="1B365D"/>
            <w:tcMar>
              <w:top w:w="60" w:type="dxa"/>
              <w:bottom w:w="60" w:type="dxa"/>
              <w:left w:w="40" w:type="dxa"/>
              <w:right w:w="40" w:type="dxa"/>
            </w:tcMar>
          </w:tcPr>
          <w:p>
            <w:r>
              <w:rPr>
                <w:rFonts w:ascii="Calibri" w:hAnsi="Calibri"/>
                <w:b/>
                <w:color w:val="FFFFFF"/>
                <w:sz w:val="17"/>
              </w:rPr>
              <w:t>Requirement</w:t>
            </w:r>
          </w:p>
        </w:tc>
        <w:tc>
          <w:tcPr>
            <w:tcW w:type="dxa" w:w="5328"/>
            <w:shd w:fill="1B365D"/>
            <w:tcMar>
              <w:top w:w="60" w:type="dxa"/>
              <w:bottom w:w="60" w:type="dxa"/>
              <w:left w:w="40" w:type="dxa"/>
              <w:right w:w="40" w:type="dxa"/>
            </w:tcMar>
          </w:tcPr>
          <w:p>
            <w:r>
              <w:rPr>
                <w:rFonts w:ascii="Calibri" w:hAnsi="Calibri"/>
                <w:b/>
                <w:color w:val="FFFFFF"/>
                <w:sz w:val="17"/>
              </w:rPr>
              <w:t>Acceptance Criteria</w:t>
            </w:r>
          </w:p>
        </w:tc>
      </w:tr>
      <w:tr>
        <w:tc>
          <w:tcPr>
            <w:tcW w:type="dxa" w:w="1152"/>
            <w:tcMar>
              <w:top w:w="50" w:type="dxa"/>
              <w:bottom w:w="50" w:type="dxa"/>
              <w:left w:w="40" w:type="dxa"/>
              <w:right w:w="40" w:type="dxa"/>
            </w:tcMar>
          </w:tcPr>
          <w:p>
            <w:r>
              <w:rPr>
                <w:rFonts w:ascii="Calibri" w:hAnsi="Calibri"/>
                <w:b/>
                <w:sz w:val="16"/>
              </w:rPr>
              <w:t>FR-1</w:t>
            </w:r>
          </w:p>
        </w:tc>
        <w:tc>
          <w:tcPr>
            <w:tcW w:type="dxa" w:w="3312"/>
            <w:tcMar>
              <w:top w:w="50" w:type="dxa"/>
              <w:bottom w:w="50" w:type="dxa"/>
              <w:left w:w="40" w:type="dxa"/>
              <w:right w:w="40" w:type="dxa"/>
            </w:tcMar>
          </w:tcPr>
          <w:p>
            <w:r>
              <w:rPr>
                <w:rFonts w:ascii="Calibri" w:hAnsi="Calibri"/>
                <w:sz w:val="16"/>
              </w:rPr>
              <w:t>Service Catalog Configuration</w:t>
            </w:r>
          </w:p>
        </w:tc>
        <w:tc>
          <w:tcPr>
            <w:tcW w:type="dxa" w:w="5328"/>
            <w:tcMar>
              <w:top w:w="50" w:type="dxa"/>
              <w:bottom w:w="50" w:type="dxa"/>
              <w:left w:w="40" w:type="dxa"/>
              <w:right w:w="40" w:type="dxa"/>
            </w:tcMar>
          </w:tcPr>
          <w:p>
            <w:r>
              <w:rPr>
                <w:rFonts w:ascii="Calibri" w:hAnsi="Calibri"/>
                <w:sz w:val="16"/>
              </w:rPr>
              <w:t>Administrator can configure catalog variables, User Criteria permissions, and publish the laptop ordering page on Service Portal.</w:t>
            </w:r>
          </w:p>
        </w:tc>
      </w:tr>
      <w:tr>
        <w:tc>
          <w:tcPr>
            <w:tcW w:type="dxa" w:w="1152"/>
            <w:shd w:fill="F9FAFB"/>
            <w:tcMar>
              <w:top w:w="50" w:type="dxa"/>
              <w:bottom w:w="50" w:type="dxa"/>
              <w:left w:w="40" w:type="dxa"/>
              <w:right w:w="40" w:type="dxa"/>
            </w:tcMar>
          </w:tcPr>
          <w:p>
            <w:r>
              <w:rPr>
                <w:rFonts w:ascii="Calibri" w:hAnsi="Calibri"/>
                <w:b/>
                <w:sz w:val="16"/>
              </w:rPr>
              <w:t>FR-2</w:t>
            </w:r>
          </w:p>
        </w:tc>
        <w:tc>
          <w:tcPr>
            <w:tcW w:type="dxa" w:w="3312"/>
            <w:shd w:fill="F9FAFB"/>
            <w:tcMar>
              <w:top w:w="50" w:type="dxa"/>
              <w:bottom w:w="50" w:type="dxa"/>
              <w:left w:w="40" w:type="dxa"/>
              <w:right w:w="40" w:type="dxa"/>
            </w:tcMar>
          </w:tcPr>
          <w:p>
            <w:r>
              <w:rPr>
                <w:rFonts w:ascii="Calibri" w:hAnsi="Calibri"/>
                <w:sz w:val="16"/>
              </w:rPr>
              <w:t>Flow Designer Workflow Trigger</w:t>
            </w:r>
          </w:p>
        </w:tc>
        <w:tc>
          <w:tcPr>
            <w:tcW w:type="dxa" w:w="5328"/>
            <w:shd w:fill="F9FAFB"/>
            <w:tcMar>
              <w:top w:w="50" w:type="dxa"/>
              <w:bottom w:w="50" w:type="dxa"/>
              <w:left w:w="40" w:type="dxa"/>
              <w:right w:w="40" w:type="dxa"/>
            </w:tcMar>
          </w:tcPr>
          <w:p>
            <w:r>
              <w:rPr>
                <w:rFonts w:ascii="Calibri" w:hAnsi="Calibri"/>
                <w:sz w:val="16"/>
              </w:rPr>
              <w:t>Workflow automatically triggers upon submission of sc_req_item for 'Standard Business Laptop' and retrieves requester metadata.</w:t>
            </w:r>
          </w:p>
        </w:tc>
      </w:tr>
      <w:tr>
        <w:tc>
          <w:tcPr>
            <w:tcW w:type="dxa" w:w="1152"/>
            <w:tcMar>
              <w:top w:w="50" w:type="dxa"/>
              <w:bottom w:w="50" w:type="dxa"/>
              <w:left w:w="40" w:type="dxa"/>
              <w:right w:w="40" w:type="dxa"/>
            </w:tcMar>
          </w:tcPr>
          <w:p>
            <w:r>
              <w:rPr>
                <w:rFonts w:ascii="Calibri" w:hAnsi="Calibri"/>
                <w:b/>
                <w:sz w:val="16"/>
              </w:rPr>
              <w:t>FR-3</w:t>
            </w:r>
          </w:p>
        </w:tc>
        <w:tc>
          <w:tcPr>
            <w:tcW w:type="dxa" w:w="3312"/>
            <w:tcMar>
              <w:top w:w="50" w:type="dxa"/>
              <w:bottom w:w="50" w:type="dxa"/>
              <w:left w:w="40" w:type="dxa"/>
              <w:right w:w="40" w:type="dxa"/>
            </w:tcMar>
          </w:tcPr>
          <w:p>
            <w:r>
              <w:rPr>
                <w:rFonts w:ascii="Calibri" w:hAnsi="Calibri"/>
                <w:sz w:val="16"/>
              </w:rPr>
              <w:t>Automated Approval Routing</w:t>
            </w:r>
          </w:p>
        </w:tc>
        <w:tc>
          <w:tcPr>
            <w:tcW w:type="dxa" w:w="5328"/>
            <w:tcMar>
              <w:top w:w="50" w:type="dxa"/>
              <w:bottom w:w="50" w:type="dxa"/>
              <w:left w:w="40" w:type="dxa"/>
              <w:right w:w="40" w:type="dxa"/>
            </w:tcMar>
          </w:tcPr>
          <w:p>
            <w:r>
              <w:rPr>
                <w:rFonts w:ascii="Calibri" w:hAnsi="Calibri"/>
                <w:sz w:val="16"/>
              </w:rPr>
              <w:t>Approval request is dynamically auto-routed to the direct manager identified in sys_user. If approved, workflow proceeds immediately.</w:t>
            </w:r>
          </w:p>
        </w:tc>
      </w:tr>
      <w:tr>
        <w:tc>
          <w:tcPr>
            <w:tcW w:type="dxa" w:w="1152"/>
            <w:shd w:fill="F9FAFB"/>
            <w:tcMar>
              <w:top w:w="50" w:type="dxa"/>
              <w:bottom w:w="50" w:type="dxa"/>
              <w:left w:w="40" w:type="dxa"/>
              <w:right w:w="40" w:type="dxa"/>
            </w:tcMar>
          </w:tcPr>
          <w:p>
            <w:r>
              <w:rPr>
                <w:rFonts w:ascii="Calibri" w:hAnsi="Calibri"/>
                <w:b/>
                <w:sz w:val="16"/>
              </w:rPr>
              <w:t>FR-4</w:t>
            </w:r>
          </w:p>
        </w:tc>
        <w:tc>
          <w:tcPr>
            <w:tcW w:type="dxa" w:w="3312"/>
            <w:shd w:fill="F9FAFB"/>
            <w:tcMar>
              <w:top w:w="50" w:type="dxa"/>
              <w:bottom w:w="50" w:type="dxa"/>
              <w:left w:w="40" w:type="dxa"/>
              <w:right w:w="40" w:type="dxa"/>
            </w:tcMar>
          </w:tcPr>
          <w:p>
            <w:r>
              <w:rPr>
                <w:rFonts w:ascii="Calibri" w:hAnsi="Calibri"/>
                <w:sz w:val="16"/>
              </w:rPr>
              <w:t>CMDB Hardware Stock Evaluation</w:t>
            </w:r>
          </w:p>
        </w:tc>
        <w:tc>
          <w:tcPr>
            <w:tcW w:type="dxa" w:w="5328"/>
            <w:shd w:fill="F9FAFB"/>
            <w:tcMar>
              <w:top w:w="50" w:type="dxa"/>
              <w:bottom w:w="50" w:type="dxa"/>
              <w:left w:w="40" w:type="dxa"/>
              <w:right w:w="40" w:type="dxa"/>
            </w:tcMar>
          </w:tcPr>
          <w:p>
            <w:r>
              <w:rPr>
                <w:rFonts w:ascii="Calibri" w:hAnsi="Calibri"/>
                <w:sz w:val="16"/>
              </w:rPr>
              <w:t>Flow evaluates alm_hardware stock levels. In-stock items reserve serial numbers; out-of-stock items route to procurement queue.</w:t>
            </w:r>
          </w:p>
        </w:tc>
      </w:tr>
      <w:tr>
        <w:tc>
          <w:tcPr>
            <w:tcW w:type="dxa" w:w="1152"/>
            <w:tcMar>
              <w:top w:w="50" w:type="dxa"/>
              <w:bottom w:w="50" w:type="dxa"/>
              <w:left w:w="40" w:type="dxa"/>
              <w:right w:w="40" w:type="dxa"/>
            </w:tcMar>
          </w:tcPr>
          <w:p>
            <w:r>
              <w:rPr>
                <w:rFonts w:ascii="Calibri" w:hAnsi="Calibri"/>
                <w:b/>
                <w:sz w:val="16"/>
              </w:rPr>
              <w:t>FR-5</w:t>
            </w:r>
          </w:p>
        </w:tc>
        <w:tc>
          <w:tcPr>
            <w:tcW w:type="dxa" w:w="3312"/>
            <w:tcMar>
              <w:top w:w="50" w:type="dxa"/>
              <w:bottom w:w="50" w:type="dxa"/>
              <w:left w:w="40" w:type="dxa"/>
              <w:right w:w="40" w:type="dxa"/>
            </w:tcMar>
          </w:tcPr>
          <w:p>
            <w:r>
              <w:rPr>
                <w:rFonts w:ascii="Calibri" w:hAnsi="Calibri"/>
                <w:sz w:val="16"/>
              </w:rPr>
              <w:t>Automated Task Generation &amp; Audit</w:t>
            </w:r>
          </w:p>
        </w:tc>
        <w:tc>
          <w:tcPr>
            <w:tcW w:type="dxa" w:w="5328"/>
            <w:tcMar>
              <w:top w:w="50" w:type="dxa"/>
              <w:bottom w:w="50" w:type="dxa"/>
              <w:left w:w="40" w:type="dxa"/>
              <w:right w:w="40" w:type="dxa"/>
            </w:tcMar>
          </w:tcPr>
          <w:p>
            <w:r>
              <w:rPr>
                <w:rFonts w:ascii="Calibri" w:hAnsi="Calibri"/>
                <w:sz w:val="16"/>
              </w:rPr>
              <w:t>SCTASK ticket is generated and assigned to IT Hardware group with full execution logs stored in Flow Designer engine.</w:t>
            </w:r>
          </w:p>
        </w:tc>
      </w:tr>
    </w:tbl>
    <w:p>
      <w:pPr>
        <w:spacing w:after="200"/>
      </w:pPr>
    </w:p>
    <w:p>
      <w:pPr>
        <w:spacing w:after="80"/>
      </w:pPr>
      <w:r>
        <w:rPr>
          <w:rFonts w:ascii="Calibri" w:hAnsi="Calibri"/>
          <w:b/>
          <w:color w:val="1B365D"/>
          <w:sz w:val="22"/>
        </w:rPr>
        <w:t>Non-functional Requirement Acceptance Criteria:</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312"/>
        <w:gridCol w:w="3312"/>
        <w:gridCol w:w="3312"/>
      </w:tblGrid>
      <w:tr>
        <w:tc>
          <w:tcPr>
            <w:tcW w:type="dxa" w:w="1152"/>
            <w:shd w:fill="1B365D"/>
            <w:tcMar>
              <w:top w:w="60" w:type="dxa"/>
              <w:bottom w:w="60" w:type="dxa"/>
              <w:left w:w="40" w:type="dxa"/>
              <w:right w:w="40" w:type="dxa"/>
            </w:tcMar>
          </w:tcPr>
          <w:p>
            <w:r>
              <w:rPr>
                <w:rFonts w:ascii="Calibri" w:hAnsi="Calibri"/>
                <w:b/>
                <w:color w:val="FFFFFF"/>
                <w:sz w:val="17"/>
              </w:rPr>
              <w:t>NFR No.</w:t>
            </w:r>
          </w:p>
        </w:tc>
        <w:tc>
          <w:tcPr>
            <w:tcW w:type="dxa" w:w="3312"/>
            <w:shd w:fill="1B365D"/>
            <w:tcMar>
              <w:top w:w="60" w:type="dxa"/>
              <w:bottom w:w="60" w:type="dxa"/>
              <w:left w:w="40" w:type="dxa"/>
              <w:right w:w="40" w:type="dxa"/>
            </w:tcMar>
          </w:tcPr>
          <w:p>
            <w:r>
              <w:rPr>
                <w:rFonts w:ascii="Calibri" w:hAnsi="Calibri"/>
                <w:b/>
                <w:color w:val="FFFFFF"/>
                <w:sz w:val="17"/>
              </w:rPr>
              <w:t>Requirement</w:t>
            </w:r>
          </w:p>
        </w:tc>
        <w:tc>
          <w:tcPr>
            <w:tcW w:type="dxa" w:w="5328"/>
            <w:shd w:fill="1B365D"/>
            <w:tcMar>
              <w:top w:w="60" w:type="dxa"/>
              <w:bottom w:w="60" w:type="dxa"/>
              <w:left w:w="40" w:type="dxa"/>
              <w:right w:w="40" w:type="dxa"/>
            </w:tcMar>
          </w:tcPr>
          <w:p>
            <w:r>
              <w:rPr>
                <w:rFonts w:ascii="Calibri" w:hAnsi="Calibri"/>
                <w:b/>
                <w:color w:val="FFFFFF"/>
                <w:sz w:val="17"/>
              </w:rPr>
              <w:t>Acceptance Criteria</w:t>
            </w:r>
          </w:p>
        </w:tc>
      </w:tr>
      <w:tr>
        <w:tc>
          <w:tcPr>
            <w:tcW w:type="dxa" w:w="1152"/>
            <w:tcMar>
              <w:top w:w="50" w:type="dxa"/>
              <w:bottom w:w="50" w:type="dxa"/>
              <w:left w:w="40" w:type="dxa"/>
              <w:right w:w="40" w:type="dxa"/>
            </w:tcMar>
          </w:tcPr>
          <w:p>
            <w:r>
              <w:rPr>
                <w:rFonts w:ascii="Calibri" w:hAnsi="Calibri"/>
                <w:b/>
                <w:sz w:val="16"/>
              </w:rPr>
              <w:t>NFR-1</w:t>
            </w:r>
          </w:p>
        </w:tc>
        <w:tc>
          <w:tcPr>
            <w:tcW w:type="dxa" w:w="3312"/>
            <w:tcMar>
              <w:top w:w="50" w:type="dxa"/>
              <w:bottom w:w="50" w:type="dxa"/>
              <w:left w:w="40" w:type="dxa"/>
              <w:right w:w="40" w:type="dxa"/>
            </w:tcMar>
          </w:tcPr>
          <w:p>
            <w:r>
              <w:rPr>
                <w:rFonts w:ascii="Calibri" w:hAnsi="Calibri"/>
                <w:sz w:val="16"/>
              </w:rPr>
              <w:t>Usability</w:t>
            </w:r>
          </w:p>
        </w:tc>
        <w:tc>
          <w:tcPr>
            <w:tcW w:type="dxa" w:w="5328"/>
            <w:tcMar>
              <w:top w:w="50" w:type="dxa"/>
              <w:bottom w:w="50" w:type="dxa"/>
              <w:left w:w="40" w:type="dxa"/>
              <w:right w:w="40" w:type="dxa"/>
            </w:tcMar>
          </w:tcPr>
          <w:p>
            <w:r>
              <w:rPr>
                <w:rFonts w:ascii="Calibri" w:hAnsi="Calibri"/>
                <w:sz w:val="16"/>
              </w:rPr>
              <w:t>Employees and managers can complete order submission and approval actions without technical guidance or training.</w:t>
            </w:r>
          </w:p>
        </w:tc>
      </w:tr>
      <w:tr>
        <w:tc>
          <w:tcPr>
            <w:tcW w:type="dxa" w:w="1152"/>
            <w:shd w:fill="F9FAFB"/>
            <w:tcMar>
              <w:top w:w="50" w:type="dxa"/>
              <w:bottom w:w="50" w:type="dxa"/>
              <w:left w:w="40" w:type="dxa"/>
              <w:right w:w="40" w:type="dxa"/>
            </w:tcMar>
          </w:tcPr>
          <w:p>
            <w:r>
              <w:rPr>
                <w:rFonts w:ascii="Calibri" w:hAnsi="Calibri"/>
                <w:b/>
                <w:sz w:val="16"/>
              </w:rPr>
              <w:t>NFR-2</w:t>
            </w:r>
          </w:p>
        </w:tc>
        <w:tc>
          <w:tcPr>
            <w:tcW w:type="dxa" w:w="3312"/>
            <w:shd w:fill="F9FAFB"/>
            <w:tcMar>
              <w:top w:w="50" w:type="dxa"/>
              <w:bottom w:w="50" w:type="dxa"/>
              <w:left w:w="40" w:type="dxa"/>
              <w:right w:w="40" w:type="dxa"/>
            </w:tcMar>
          </w:tcPr>
          <w:p>
            <w:r>
              <w:rPr>
                <w:rFonts w:ascii="Calibri" w:hAnsi="Calibri"/>
                <w:sz w:val="16"/>
              </w:rPr>
              <w:t>Security &amp; Authorization</w:t>
            </w:r>
          </w:p>
        </w:tc>
        <w:tc>
          <w:tcPr>
            <w:tcW w:type="dxa" w:w="5328"/>
            <w:shd w:fill="F9FAFB"/>
            <w:tcMar>
              <w:top w:w="50" w:type="dxa"/>
              <w:bottom w:w="50" w:type="dxa"/>
              <w:left w:w="40" w:type="dxa"/>
              <w:right w:w="40" w:type="dxa"/>
            </w:tcMar>
          </w:tcPr>
          <w:p>
            <w:r>
              <w:rPr>
                <w:rFonts w:ascii="Calibri" w:hAnsi="Calibri"/>
                <w:sz w:val="16"/>
              </w:rPr>
              <w:t>Unauthorized requests are blocked, and approvals are restricted exclusively to authorized direct managers.</w:t>
            </w:r>
          </w:p>
        </w:tc>
      </w:tr>
      <w:tr>
        <w:tc>
          <w:tcPr>
            <w:tcW w:type="dxa" w:w="1152"/>
            <w:tcMar>
              <w:top w:w="50" w:type="dxa"/>
              <w:bottom w:w="50" w:type="dxa"/>
              <w:left w:w="40" w:type="dxa"/>
              <w:right w:w="40" w:type="dxa"/>
            </w:tcMar>
          </w:tcPr>
          <w:p>
            <w:r>
              <w:rPr>
                <w:rFonts w:ascii="Calibri" w:hAnsi="Calibri"/>
                <w:b/>
                <w:sz w:val="16"/>
              </w:rPr>
              <w:t>NFR-3</w:t>
            </w:r>
          </w:p>
        </w:tc>
        <w:tc>
          <w:tcPr>
            <w:tcW w:type="dxa" w:w="3312"/>
            <w:tcMar>
              <w:top w:w="50" w:type="dxa"/>
              <w:bottom w:w="50" w:type="dxa"/>
              <w:left w:w="40" w:type="dxa"/>
              <w:right w:w="40" w:type="dxa"/>
            </w:tcMar>
          </w:tcPr>
          <w:p>
            <w:r>
              <w:rPr>
                <w:rFonts w:ascii="Calibri" w:hAnsi="Calibri"/>
                <w:sz w:val="16"/>
              </w:rPr>
              <w:t>Reliability</w:t>
            </w:r>
          </w:p>
        </w:tc>
        <w:tc>
          <w:tcPr>
            <w:tcW w:type="dxa" w:w="5328"/>
            <w:tcMar>
              <w:top w:w="50" w:type="dxa"/>
              <w:bottom w:w="50" w:type="dxa"/>
              <w:left w:w="40" w:type="dxa"/>
              <w:right w:w="40" w:type="dxa"/>
            </w:tcMar>
          </w:tcPr>
          <w:p>
            <w:r>
              <w:rPr>
                <w:rFonts w:ascii="Calibri" w:hAnsi="Calibri"/>
                <w:sz w:val="16"/>
              </w:rPr>
              <w:t>Workflow triggers, approval assignments, and task creations maintain 100% execution accuracy during testing.</w:t>
            </w:r>
          </w:p>
        </w:tc>
      </w:tr>
      <w:tr>
        <w:tc>
          <w:tcPr>
            <w:tcW w:type="dxa" w:w="1152"/>
            <w:shd w:fill="F9FAFB"/>
            <w:tcMar>
              <w:top w:w="50" w:type="dxa"/>
              <w:bottom w:w="50" w:type="dxa"/>
              <w:left w:w="40" w:type="dxa"/>
              <w:right w:w="40" w:type="dxa"/>
            </w:tcMar>
          </w:tcPr>
          <w:p>
            <w:r>
              <w:rPr>
                <w:rFonts w:ascii="Calibri" w:hAnsi="Calibri"/>
                <w:b/>
                <w:sz w:val="16"/>
              </w:rPr>
              <w:t>NFR-4</w:t>
            </w:r>
          </w:p>
        </w:tc>
        <w:tc>
          <w:tcPr>
            <w:tcW w:type="dxa" w:w="3312"/>
            <w:shd w:fill="F9FAFB"/>
            <w:tcMar>
              <w:top w:w="50" w:type="dxa"/>
              <w:bottom w:w="50" w:type="dxa"/>
              <w:left w:w="40" w:type="dxa"/>
              <w:right w:w="40" w:type="dxa"/>
            </w:tcMar>
          </w:tcPr>
          <w:p>
            <w:r>
              <w:rPr>
                <w:rFonts w:ascii="Calibri" w:hAnsi="Calibri"/>
                <w:sz w:val="16"/>
              </w:rPr>
              <w:t>Performance</w:t>
            </w:r>
          </w:p>
        </w:tc>
        <w:tc>
          <w:tcPr>
            <w:tcW w:type="dxa" w:w="5328"/>
            <w:shd w:fill="F9FAFB"/>
            <w:tcMar>
              <w:top w:w="50" w:type="dxa"/>
              <w:bottom w:w="50" w:type="dxa"/>
              <w:left w:w="40" w:type="dxa"/>
              <w:right w:w="40" w:type="dxa"/>
            </w:tcMar>
          </w:tcPr>
          <w:p>
            <w:r>
              <w:rPr>
                <w:rFonts w:ascii="Calibri" w:hAnsi="Calibri"/>
                <w:sz w:val="16"/>
              </w:rPr>
              <w:t>End-to-end Flow Designer execution from trigger to task assignment completes in less than 3 seconds.</w:t>
            </w:r>
          </w:p>
        </w:tc>
      </w:tr>
      <w:tr>
        <w:tc>
          <w:tcPr>
            <w:tcW w:type="dxa" w:w="1152"/>
            <w:tcMar>
              <w:top w:w="50" w:type="dxa"/>
              <w:bottom w:w="50" w:type="dxa"/>
              <w:left w:w="40" w:type="dxa"/>
              <w:right w:w="40" w:type="dxa"/>
            </w:tcMar>
          </w:tcPr>
          <w:p>
            <w:r>
              <w:rPr>
                <w:rFonts w:ascii="Calibri" w:hAnsi="Calibri"/>
                <w:b/>
                <w:sz w:val="16"/>
              </w:rPr>
              <w:t>NFR-5</w:t>
            </w:r>
          </w:p>
        </w:tc>
        <w:tc>
          <w:tcPr>
            <w:tcW w:type="dxa" w:w="3312"/>
            <w:tcMar>
              <w:top w:w="50" w:type="dxa"/>
              <w:bottom w:w="50" w:type="dxa"/>
              <w:left w:w="40" w:type="dxa"/>
              <w:right w:w="40" w:type="dxa"/>
            </w:tcMar>
          </w:tcPr>
          <w:p>
            <w:r>
              <w:rPr>
                <w:rFonts w:ascii="Calibri" w:hAnsi="Calibri"/>
                <w:sz w:val="16"/>
              </w:rPr>
              <w:t>Availability</w:t>
            </w:r>
          </w:p>
        </w:tc>
        <w:tc>
          <w:tcPr>
            <w:tcW w:type="dxa" w:w="5328"/>
            <w:tcMar>
              <w:top w:w="50" w:type="dxa"/>
              <w:bottom w:w="50" w:type="dxa"/>
              <w:left w:w="40" w:type="dxa"/>
              <w:right w:w="40" w:type="dxa"/>
            </w:tcMar>
          </w:tcPr>
          <w:p>
            <w:r>
              <w:rPr>
                <w:rFonts w:ascii="Calibri" w:hAnsi="Calibri"/>
                <w:sz w:val="16"/>
              </w:rPr>
              <w:t>Procurement flow functions without interruption alongside standard ServiceNow platform availability.</w:t>
            </w:r>
          </w:p>
        </w:tc>
      </w:tr>
      <w:tr>
        <w:tc>
          <w:tcPr>
            <w:tcW w:type="dxa" w:w="1152"/>
            <w:shd w:fill="F9FAFB"/>
            <w:tcMar>
              <w:top w:w="50" w:type="dxa"/>
              <w:bottom w:w="50" w:type="dxa"/>
              <w:left w:w="40" w:type="dxa"/>
              <w:right w:w="40" w:type="dxa"/>
            </w:tcMar>
          </w:tcPr>
          <w:p>
            <w:r>
              <w:rPr>
                <w:rFonts w:ascii="Calibri" w:hAnsi="Calibri"/>
                <w:b/>
                <w:sz w:val="16"/>
              </w:rPr>
              <w:t>NFR-6</w:t>
            </w:r>
          </w:p>
        </w:tc>
        <w:tc>
          <w:tcPr>
            <w:tcW w:type="dxa" w:w="3312"/>
            <w:shd w:fill="F9FAFB"/>
            <w:tcMar>
              <w:top w:w="50" w:type="dxa"/>
              <w:bottom w:w="50" w:type="dxa"/>
              <w:left w:w="40" w:type="dxa"/>
              <w:right w:w="40" w:type="dxa"/>
            </w:tcMar>
          </w:tcPr>
          <w:p>
            <w:r>
              <w:rPr>
                <w:rFonts w:ascii="Calibri" w:hAnsi="Calibri"/>
                <w:sz w:val="16"/>
              </w:rPr>
              <w:t>Scalability</w:t>
            </w:r>
          </w:p>
        </w:tc>
        <w:tc>
          <w:tcPr>
            <w:tcW w:type="dxa" w:w="5328"/>
            <w:shd w:fill="F9FAFB"/>
            <w:tcMar>
              <w:top w:w="50" w:type="dxa"/>
              <w:bottom w:w="50" w:type="dxa"/>
              <w:left w:w="40" w:type="dxa"/>
              <w:right w:w="40" w:type="dxa"/>
            </w:tcMar>
          </w:tcPr>
          <w:p>
            <w:r>
              <w:rPr>
                <w:rFonts w:ascii="Calibri" w:hAnsi="Calibri"/>
                <w:sz w:val="16"/>
              </w:rPr>
              <w:t>Workflow handles concurrent user catalog requests without degradation in execution performance.</w:t>
            </w:r>
          </w:p>
        </w:tc>
      </w:tr>
    </w:tbl>
    <w:p>
      <w:pPr>
        <w:spacing w:after="240"/>
      </w:pPr>
    </w:p>
    <w:p>
      <w:r>
        <w:rPr>
          <w:b/>
          <w:color w:val="1B365D"/>
          <w:sz w:val="22"/>
        </w:rPr>
        <w:t>Expected Solution Outcome</w:t>
        <w:br/>
      </w:r>
      <w:r>
        <w:rPr>
          <w:sz w:val="19"/>
        </w:rPr>
        <w:t>The proposed solution provides end-to-end automated IT procurement by integrating ServiceNow Service Catalog, Flow Designer, and CMDB asset tracking. Order submissions automatically trigger dynamic manager approvals, verify hardware stock availability, and assign fulfillment tasks (SCTASK) to IT teams without manual intervention. The design ensures complete auditability, high operational efficiency, reduced delivery timelines, and scalable hardware procurement management.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