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646464"/>
          <w:sz w:val="24"/>
        </w:rPr>
        <w:t>Project Development Phase</w:t>
        <w:br/>
      </w:r>
      <w:r>
        <w:rPr>
          <w:rFonts w:ascii="Calibri" w:hAnsi="Calibri"/>
          <w:b/>
          <w:color w:val="1B365D"/>
          <w:sz w:val="40"/>
        </w:rPr>
        <w:t>Flow Designer Performance &amp; Automation Test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29 September 2026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SWTID-2026-9791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Project Name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Maximum Marks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4 Marks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Size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Leader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MONIKA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PREETHA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RANJANI DEVI 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IT Procurement Flow Designer Performance Testing:</w:t>
      </w:r>
    </w:p>
    <w:p>
      <w:pPr>
        <w:spacing w:after="200"/>
      </w:pPr>
      <w:r>
        <w:t>Project team shall fill the following information in the IT Procurement Flow Designer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S.No.</w:t>
            </w:r>
          </w:p>
        </w:tc>
        <w:tc>
          <w:tcPr>
            <w:tcW w:type="dxa" w:w="259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Parameters</w:t>
            </w:r>
          </w:p>
        </w:tc>
        <w:tc>
          <w:tcPr>
            <w:tcW w:type="dxa" w:w="316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Values</w:t>
            </w:r>
          </w:p>
        </w:tc>
        <w:tc>
          <w:tcPr>
            <w:tcW w:type="dxa" w:w="316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Screenshot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1.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Flow Designer Automation Summary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• Flow Designer triggers automatically upon 'Standard Business Laptop' Service Catalog request.</w:t>
              <w:br/>
              <w:t>• Auto-routes manager approval based on requester profile.</w:t>
              <w:br/>
              <w:t>• Automated task generation for IT fulfillment (SCTASK).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0474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_execution_procuremen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474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2.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b/>
                <w:sz w:val="18"/>
              </w:rPr>
              <w:t>Fulfillment Accuracy &amp; RITM Processing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r>
              <w:rPr>
                <w:rFonts w:ascii="Calibri" w:hAnsi="Calibri"/>
                <w:sz w:val="17"/>
              </w:rPr>
              <w:t>Standard Order Scenario – Catalog order submitted by employee: Manager approval and RITM fulfillment created automatically.</w:t>
              <w:br/>
              <w:t>Asset Tracking – Order stage updated dynamically across Catalog Item, RITM, and Asset tables.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  <w:shd w:fill="F9FAFB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0474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ptop_ritm_list_vie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474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3.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Rule Tuning &amp; Subflow Result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17"/>
              </w:rPr>
              <w:t>Validation Result – Flow Designer actions and asset availability subflows tested with multi-department requests.</w:t>
              <w:br/>
              <w:t>Expected Result – Approved orders automatically assign fulfillment tasks and update CMDB stock records.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0474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bflow_asset_sl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474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Performance / Validation Criteria:</w:t>
      </w:r>
    </w:p>
    <w:p>
      <w:pPr>
        <w:spacing w:after="60"/>
      </w:pPr>
      <w:r>
        <w:rPr>
          <w:b/>
        </w:rPr>
        <w:t xml:space="preserve">• </w:t>
      </w:r>
      <w:r>
        <w:rPr>
          <w:rFonts w:ascii="Calibri" w:hAnsi="Calibri"/>
          <w:sz w:val="19"/>
        </w:rPr>
        <w:t>Flow Designer evaluates standard laptop requests instantly upon catalog submission.</w:t>
      </w:r>
    </w:p>
    <w:p>
      <w:pPr>
        <w:spacing w:after="60"/>
      </w:pPr>
      <w:r>
        <w:rPr>
          <w:b/>
        </w:rPr>
        <w:t xml:space="preserve">• </w:t>
      </w:r>
      <w:r>
        <w:rPr>
          <w:rFonts w:ascii="Calibri" w:hAnsi="Calibri"/>
          <w:sz w:val="19"/>
        </w:rPr>
        <w:t>Manager approvals are routed automatically without requiring manual assignment.</w:t>
      </w:r>
    </w:p>
    <w:p>
      <w:pPr>
        <w:spacing w:after="60"/>
      </w:pPr>
      <w:r>
        <w:rPr>
          <w:b/>
        </w:rPr>
        <w:t xml:space="preserve">• </w:t>
      </w:r>
      <w:r>
        <w:rPr>
          <w:rFonts w:ascii="Calibri" w:hAnsi="Calibri"/>
          <w:sz w:val="19"/>
        </w:rPr>
        <w:t>CMDB asset stock is verified automatically before fulfillment tasks are issued.</w:t>
      </w:r>
    </w:p>
    <w:p>
      <w:pPr>
        <w:spacing w:after="60"/>
      </w:pPr>
      <w:r>
        <w:rPr>
          <w:b/>
        </w:rPr>
        <w:t xml:space="preserve">• </w:t>
      </w:r>
      <w:r>
        <w:rPr>
          <w:rFonts w:ascii="Calibri" w:hAnsi="Calibri"/>
          <w:sz w:val="19"/>
        </w:rPr>
        <w:t>Notifications and stage updates are triggered seamlessly, ensuring SLA compliance.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