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Development Phase</w:t>
        <w:br/>
      </w:r>
      <w:r>
        <w:rPr>
          <w:rFonts w:ascii="Calibri" w:hAnsi="Calibri"/>
          <w:b/>
          <w:color w:val="1B365D"/>
          <w:sz w:val="40"/>
        </w:rPr>
        <w:t>Flow Designer Model Performance Test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10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Model Performance Testing:</w:t>
      </w:r>
    </w:p>
    <w:p>
      <w:pPr>
        <w:spacing w:after="200"/>
      </w:pPr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S.No.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Values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Screenshot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Workflow Automation Metrics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Successful Order Execution: Verified that standard laptop catalog requests trigger Flow Designer automatically.</w:t>
              <w:br/>
              <w:t>Approval Accuracy: Manager approval requests are correctly routed based on user profile.</w:t>
              <w:br/>
              <w:t>Fulfillment Efficiency: Automated generation of SCTASK for IT provisioning and imaging.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curement_flow_metric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Flow Rule Validation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Inventory Check: Validated CMDB stock availability before triggering fulfillment tasks.</w:t>
              <w:br/>
              <w:t>Subflow Execution: Verified status email notifications and SLA time tracking.</w:t>
              <w:br/>
              <w:t>Exception Handling: Handled out-of-stock and missing manager scenarios gracefully without stuck states.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top_fulfillment_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