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Development Phase</w:t>
        <w:br/>
      </w:r>
      <w:r>
        <w:rPr>
          <w:rFonts w:ascii="Calibri" w:hAnsi="Calibri"/>
          <w:b/>
          <w:color w:val="1B365D"/>
          <w:sz w:val="40"/>
        </w:rPr>
        <w:t>Performance Test - IT Procurement Flow Automation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10 February 2025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10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Model Performance Testing:</w:t>
      </w:r>
    </w:p>
    <w:p>
      <w:pPr>
        <w:spacing w:after="200"/>
      </w:pPr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31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547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Screenshot / Values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Flow Designer Configuration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Automated procurement workflow configured for the 'Standard Business Laptop' Service Catalog item; auto-approval and fulfillment task routing trigger on request.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config_tablea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Data / Record Validation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Laptop catalog records are populated with Requested For, Model Configuration, and Department fields. Flow Designer verifies requester details prior to routing.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rd_validation_table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Utilization of Field Value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The Item Type and Laptop Specification fields are utilized as the workflow condition. Example: 'Standard Business Laptop' triggers the automated IT procurement flow.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eld_utilization_tablea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4.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Script &amp; Flow Evaluation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Flow Designer scripts evaluate manager details and CMDB stock levels at request time and return the appropriate task assignment decision.</w:t>
              <w:br/>
              <w:t>Result: Condition satisfied → Auto-approve &amp; assign SCTASK; Condition not satisfied → Flag for manual review.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config_tablea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5.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Authorized Access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Authorized employees (e.g. MONIKA S, PREETHA S) can request standard laptops after workflow validation. Expected Result: RITM created and fulfillment ticket assigned.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rd_validation_table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6.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Unauthorized Access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When an unauthorized user attempts to place an out-of-policy order, access controls block form submission. Expected Result: Unauthorized orders are prevented.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authorized_tableau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