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646464"/>
          <w:sz w:val="24"/>
        </w:rPr>
        <w:t>Acceptance Testing</w:t>
        <w:br/>
      </w:r>
      <w:r>
        <w:rPr>
          <w:rFonts w:ascii="Calibri" w:hAnsi="Calibri"/>
          <w:b/>
          <w:color w:val="1B365D"/>
          <w:sz w:val="40"/>
        </w:rPr>
        <w:t>UAT Execution &amp; Report Submission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29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4 Marks</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80"/>
      </w:pPr>
      <w:r>
        <w:rPr>
          <w:rFonts w:ascii="Calibri" w:hAnsi="Calibri"/>
          <w:b/>
          <w:color w:val="1B365D"/>
          <w:sz w:val="24"/>
        </w:rPr>
        <w:t>1. Purpose of Document</w:t>
      </w:r>
    </w:p>
    <w:p>
      <w:pPr>
        <w:spacing w:after="240"/>
      </w:pPr>
      <w:r>
        <w:t>The purpose of this document is to summarize the User Acceptance Testing (UAT) coverage and defect status for the Streamlining IT Procurement: Automating Standard Laptop Orders with Flow Designer solution. The project automates standard laptop catalog order requests, manager approval routing, CMDB asset stock evaluation, and IT fulfillment task generation.</w:t>
      </w:r>
    </w:p>
    <w:p>
      <w:pPr>
        <w:spacing w:after="80"/>
      </w:pPr>
      <w:r>
        <w:rPr>
          <w:rFonts w:ascii="Calibri" w:hAnsi="Calibri"/>
          <w:b/>
          <w:color w:val="1B365D"/>
          <w:sz w:val="24"/>
        </w:rPr>
        <w:t>2. Defect Analysis</w:t>
      </w:r>
    </w:p>
    <w:p>
      <w:pPr>
        <w:spacing w:after="120"/>
      </w:pPr>
      <w:r>
        <w:t>This report shows the current defect status by severity and resolution category identified during UAT execution.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56"/>
        <w:gridCol w:w="1656"/>
        <w:gridCol w:w="1656"/>
        <w:gridCol w:w="1656"/>
        <w:gridCol w:w="1656"/>
        <w:gridCol w:w="1656"/>
      </w:tblGrid>
      <w:tr>
        <w:tc>
          <w:tcPr>
            <w:tcW w:type="dxa" w:w="3168"/>
            <w:shd w:fill="1B365D"/>
            <w:tcMar>
              <w:top w:w="60" w:type="dxa"/>
              <w:bottom w:w="60" w:type="dxa"/>
              <w:left w:w="60" w:type="dxa"/>
              <w:right w:w="60" w:type="dxa"/>
            </w:tcMar>
          </w:tcPr>
          <w:p>
            <w:r>
              <w:rPr>
                <w:rFonts w:ascii="Calibri" w:hAnsi="Calibri"/>
                <w:b/>
                <w:color w:val="FFFFFF"/>
                <w:sz w:val="18"/>
              </w:rPr>
              <w:t>Resolution</w:t>
            </w:r>
          </w:p>
        </w:tc>
        <w:tc>
          <w:tcPr>
            <w:tcW w:type="dxa" w:w="1296"/>
            <w:shd w:fill="1B365D"/>
            <w:tcMar>
              <w:top w:w="60" w:type="dxa"/>
              <w:bottom w:w="60" w:type="dxa"/>
              <w:left w:w="60" w:type="dxa"/>
              <w:right w:w="60" w:type="dxa"/>
            </w:tcMar>
          </w:tcPr>
          <w:p>
            <w:r>
              <w:rPr>
                <w:rFonts w:ascii="Calibri" w:hAnsi="Calibri"/>
                <w:b/>
                <w:color w:val="FFFFFF"/>
                <w:sz w:val="18"/>
              </w:rPr>
              <w:t>Severity 1</w:t>
            </w:r>
          </w:p>
        </w:tc>
        <w:tc>
          <w:tcPr>
            <w:tcW w:type="dxa" w:w="1296"/>
            <w:shd w:fill="1B365D"/>
            <w:tcMar>
              <w:top w:w="60" w:type="dxa"/>
              <w:bottom w:w="60" w:type="dxa"/>
              <w:left w:w="60" w:type="dxa"/>
              <w:right w:w="60" w:type="dxa"/>
            </w:tcMar>
          </w:tcPr>
          <w:p>
            <w:r>
              <w:rPr>
                <w:rFonts w:ascii="Calibri" w:hAnsi="Calibri"/>
                <w:b/>
                <w:color w:val="FFFFFF"/>
                <w:sz w:val="18"/>
              </w:rPr>
              <w:t>Severity 2</w:t>
            </w:r>
          </w:p>
        </w:tc>
        <w:tc>
          <w:tcPr>
            <w:tcW w:type="dxa" w:w="1296"/>
            <w:shd w:fill="1B365D"/>
            <w:tcMar>
              <w:top w:w="60" w:type="dxa"/>
              <w:bottom w:w="60" w:type="dxa"/>
              <w:left w:w="60" w:type="dxa"/>
              <w:right w:w="60" w:type="dxa"/>
            </w:tcMar>
          </w:tcPr>
          <w:p>
            <w:r>
              <w:rPr>
                <w:rFonts w:ascii="Calibri" w:hAnsi="Calibri"/>
                <w:b/>
                <w:color w:val="FFFFFF"/>
                <w:sz w:val="18"/>
              </w:rPr>
              <w:t>Severity 3</w:t>
            </w:r>
          </w:p>
        </w:tc>
        <w:tc>
          <w:tcPr>
            <w:tcW w:type="dxa" w:w="1296"/>
            <w:shd w:fill="1B365D"/>
            <w:tcMar>
              <w:top w:w="60" w:type="dxa"/>
              <w:bottom w:w="60" w:type="dxa"/>
              <w:left w:w="60" w:type="dxa"/>
              <w:right w:w="60" w:type="dxa"/>
            </w:tcMar>
          </w:tcPr>
          <w:p>
            <w:r>
              <w:rPr>
                <w:rFonts w:ascii="Calibri" w:hAnsi="Calibri"/>
                <w:b/>
                <w:color w:val="FFFFFF"/>
                <w:sz w:val="18"/>
              </w:rPr>
              <w:t>Severity 4</w:t>
            </w:r>
          </w:p>
        </w:tc>
        <w:tc>
          <w:tcPr>
            <w:tcW w:type="dxa" w:w="1296"/>
            <w:shd w:fill="1B365D"/>
            <w:tcMar>
              <w:top w:w="60" w:type="dxa"/>
              <w:bottom w:w="60" w:type="dxa"/>
              <w:left w:w="60" w:type="dxa"/>
              <w:right w:w="60" w:type="dxa"/>
            </w:tcMar>
          </w:tcPr>
          <w:p>
            <w:r>
              <w:rPr>
                <w:rFonts w:ascii="Calibri" w:hAnsi="Calibri"/>
                <w:b/>
                <w:color w:val="FFFFFF"/>
                <w:sz w:val="18"/>
              </w:rPr>
              <w:t>Subtotal</w:t>
            </w:r>
          </w:p>
        </w:tc>
      </w:tr>
      <w:tr>
        <w:tc>
          <w:tcPr>
            <w:tcW w:type="dxa" w:w="3168"/>
            <w:tcMar>
              <w:top w:w="60" w:type="dxa"/>
              <w:bottom w:w="60" w:type="dxa"/>
              <w:left w:w="60" w:type="dxa"/>
              <w:right w:w="60" w:type="dxa"/>
            </w:tcMar>
          </w:tcPr>
          <w:p>
            <w:r>
              <w:rPr>
                <w:rFonts w:ascii="Calibri" w:hAnsi="Calibri"/>
                <w:sz w:val="17"/>
              </w:rPr>
              <w:t>By Design</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1</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1</w:t>
            </w:r>
          </w:p>
        </w:tc>
      </w:tr>
      <w:tr>
        <w:tc>
          <w:tcPr>
            <w:tcW w:type="dxa" w:w="3168"/>
            <w:tcMar>
              <w:top w:w="60" w:type="dxa"/>
              <w:bottom w:w="60" w:type="dxa"/>
              <w:left w:w="60" w:type="dxa"/>
              <w:right w:w="60" w:type="dxa"/>
            </w:tcMar>
            <w:shd w:fill="F9FAFB"/>
          </w:tcPr>
          <w:p>
            <w:r>
              <w:rPr>
                <w:rFonts w:ascii="Calibri" w:hAnsi="Calibri"/>
                <w:sz w:val="17"/>
              </w:rPr>
              <w:t>Duplicate</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r>
      <w:tr>
        <w:tc>
          <w:tcPr>
            <w:tcW w:type="dxa" w:w="3168"/>
            <w:tcMar>
              <w:top w:w="60" w:type="dxa"/>
              <w:bottom w:w="60" w:type="dxa"/>
              <w:left w:w="60" w:type="dxa"/>
              <w:right w:w="60" w:type="dxa"/>
            </w:tcMar>
          </w:tcPr>
          <w:p>
            <w:r>
              <w:rPr>
                <w:rFonts w:ascii="Calibri" w:hAnsi="Calibri"/>
                <w:sz w:val="17"/>
              </w:rPr>
              <w:t>External</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r>
      <w:tr>
        <w:tc>
          <w:tcPr>
            <w:tcW w:type="dxa" w:w="3168"/>
            <w:tcMar>
              <w:top w:w="60" w:type="dxa"/>
              <w:bottom w:w="60" w:type="dxa"/>
              <w:left w:w="60" w:type="dxa"/>
              <w:right w:w="60" w:type="dxa"/>
            </w:tcMar>
            <w:shd w:fill="F9FAFB"/>
          </w:tcPr>
          <w:p>
            <w:r>
              <w:rPr>
                <w:rFonts w:ascii="Calibri" w:hAnsi="Calibri"/>
                <w:sz w:val="17"/>
              </w:rPr>
              <w:t>Fixed</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1</w:t>
            </w:r>
          </w:p>
        </w:tc>
        <w:tc>
          <w:tcPr>
            <w:tcW w:type="dxa" w:w="1296"/>
            <w:tcMar>
              <w:top w:w="60" w:type="dxa"/>
              <w:bottom w:w="60" w:type="dxa"/>
              <w:left w:w="60" w:type="dxa"/>
              <w:right w:w="60" w:type="dxa"/>
            </w:tcMar>
            <w:shd w:fill="F9FAFB"/>
          </w:tcPr>
          <w:p>
            <w:r>
              <w:rPr>
                <w:rFonts w:ascii="Calibri" w:hAnsi="Calibri"/>
                <w:sz w:val="17"/>
              </w:rPr>
              <w:t>1</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2</w:t>
            </w:r>
          </w:p>
        </w:tc>
      </w:tr>
      <w:tr>
        <w:tc>
          <w:tcPr>
            <w:tcW w:type="dxa" w:w="3168"/>
            <w:tcMar>
              <w:top w:w="60" w:type="dxa"/>
              <w:bottom w:w="60" w:type="dxa"/>
              <w:left w:w="60" w:type="dxa"/>
              <w:right w:w="60" w:type="dxa"/>
            </w:tcMar>
          </w:tcPr>
          <w:p>
            <w:r>
              <w:rPr>
                <w:rFonts w:ascii="Calibri" w:hAnsi="Calibri"/>
                <w:sz w:val="17"/>
              </w:rPr>
              <w:t>Not Reproduced</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r>
      <w:tr>
        <w:tc>
          <w:tcPr>
            <w:tcW w:type="dxa" w:w="3168"/>
            <w:tcMar>
              <w:top w:w="60" w:type="dxa"/>
              <w:bottom w:w="60" w:type="dxa"/>
              <w:left w:w="60" w:type="dxa"/>
              <w:right w:w="60" w:type="dxa"/>
            </w:tcMar>
            <w:shd w:fill="F9FAFB"/>
          </w:tcPr>
          <w:p>
            <w:r>
              <w:rPr>
                <w:rFonts w:ascii="Calibri" w:hAnsi="Calibri"/>
                <w:sz w:val="17"/>
              </w:rPr>
              <w:t>Skipped</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c>
          <w:tcPr>
            <w:tcW w:type="dxa" w:w="1296"/>
            <w:tcMar>
              <w:top w:w="60" w:type="dxa"/>
              <w:bottom w:w="60" w:type="dxa"/>
              <w:left w:w="60" w:type="dxa"/>
              <w:right w:w="60" w:type="dxa"/>
            </w:tcMar>
            <w:shd w:fill="F9FAFB"/>
          </w:tcPr>
          <w:p>
            <w:r>
              <w:rPr>
                <w:rFonts w:ascii="Calibri" w:hAnsi="Calibri"/>
                <w:sz w:val="17"/>
              </w:rPr>
              <w:t>0</w:t>
            </w:r>
          </w:p>
        </w:tc>
      </w:tr>
      <w:tr>
        <w:tc>
          <w:tcPr>
            <w:tcW w:type="dxa" w:w="3168"/>
            <w:tcMar>
              <w:top w:w="60" w:type="dxa"/>
              <w:bottom w:w="60" w:type="dxa"/>
              <w:left w:w="60" w:type="dxa"/>
              <w:right w:w="60" w:type="dxa"/>
            </w:tcMar>
          </w:tcPr>
          <w:p>
            <w:r>
              <w:rPr>
                <w:rFonts w:ascii="Calibri" w:hAnsi="Calibri"/>
                <w:sz w:val="17"/>
              </w:rPr>
              <w:t>Won't Fix</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c>
          <w:tcPr>
            <w:tcW w:type="dxa" w:w="1296"/>
            <w:tcMar>
              <w:top w:w="60" w:type="dxa"/>
              <w:bottom w:w="60" w:type="dxa"/>
              <w:left w:w="60" w:type="dxa"/>
              <w:right w:w="60" w:type="dxa"/>
            </w:tcMar>
          </w:tcPr>
          <w:p>
            <w:r>
              <w:rPr>
                <w:rFonts w:ascii="Calibri" w:hAnsi="Calibri"/>
                <w:sz w:val="17"/>
              </w:rPr>
              <w:t>0</w:t>
            </w:r>
          </w:p>
        </w:tc>
      </w:tr>
      <w:tr>
        <w:tc>
          <w:tcPr>
            <w:tcW w:type="dxa" w:w="3168"/>
            <w:shd w:fill="E2E8F0"/>
            <w:tcMar>
              <w:top w:w="60" w:type="dxa"/>
              <w:bottom w:w="60" w:type="dxa"/>
              <w:left w:w="60" w:type="dxa"/>
              <w:right w:w="60" w:type="dxa"/>
            </w:tcMar>
          </w:tcPr>
          <w:p>
            <w:r>
              <w:rPr>
                <w:rFonts w:ascii="Calibri" w:hAnsi="Calibri"/>
                <w:b/>
                <w:sz w:val="17"/>
              </w:rPr>
              <w:t>Totals</w:t>
            </w:r>
          </w:p>
        </w:tc>
        <w:tc>
          <w:tcPr>
            <w:tcW w:type="dxa" w:w="1296"/>
            <w:shd w:fill="E2E8F0"/>
            <w:tcMar>
              <w:top w:w="60" w:type="dxa"/>
              <w:bottom w:w="60" w:type="dxa"/>
              <w:left w:w="60" w:type="dxa"/>
              <w:right w:w="60" w:type="dxa"/>
            </w:tcMar>
          </w:tcPr>
          <w:p>
            <w:r>
              <w:rPr>
                <w:rFonts w:ascii="Calibri" w:hAnsi="Calibri"/>
                <w:b/>
                <w:sz w:val="17"/>
              </w:rPr>
              <w:t>0</w:t>
            </w:r>
          </w:p>
        </w:tc>
        <w:tc>
          <w:tcPr>
            <w:tcW w:type="dxa" w:w="1296"/>
            <w:shd w:fill="E2E8F0"/>
            <w:tcMar>
              <w:top w:w="60" w:type="dxa"/>
              <w:bottom w:w="60" w:type="dxa"/>
              <w:left w:w="60" w:type="dxa"/>
              <w:right w:w="60" w:type="dxa"/>
            </w:tcMar>
          </w:tcPr>
          <w:p>
            <w:r>
              <w:rPr>
                <w:rFonts w:ascii="Calibri" w:hAnsi="Calibri"/>
                <w:b/>
                <w:sz w:val="17"/>
              </w:rPr>
              <w:t>1</w:t>
            </w:r>
          </w:p>
        </w:tc>
        <w:tc>
          <w:tcPr>
            <w:tcW w:type="dxa" w:w="1296"/>
            <w:shd w:fill="E2E8F0"/>
            <w:tcMar>
              <w:top w:w="60" w:type="dxa"/>
              <w:bottom w:w="60" w:type="dxa"/>
              <w:left w:w="60" w:type="dxa"/>
              <w:right w:w="60" w:type="dxa"/>
            </w:tcMar>
          </w:tcPr>
          <w:p>
            <w:r>
              <w:rPr>
                <w:rFonts w:ascii="Calibri" w:hAnsi="Calibri"/>
                <w:b/>
                <w:sz w:val="17"/>
              </w:rPr>
              <w:t>2</w:t>
            </w:r>
          </w:p>
        </w:tc>
        <w:tc>
          <w:tcPr>
            <w:tcW w:type="dxa" w:w="1296"/>
            <w:shd w:fill="E2E8F0"/>
            <w:tcMar>
              <w:top w:w="60" w:type="dxa"/>
              <w:bottom w:w="60" w:type="dxa"/>
              <w:left w:w="60" w:type="dxa"/>
              <w:right w:w="60" w:type="dxa"/>
            </w:tcMar>
          </w:tcPr>
          <w:p>
            <w:r>
              <w:rPr>
                <w:rFonts w:ascii="Calibri" w:hAnsi="Calibri"/>
                <w:b/>
                <w:sz w:val="17"/>
              </w:rPr>
              <w:t>0</w:t>
            </w:r>
          </w:p>
        </w:tc>
        <w:tc>
          <w:tcPr>
            <w:tcW w:type="dxa" w:w="1296"/>
            <w:shd w:fill="E2E8F0"/>
            <w:tcMar>
              <w:top w:w="60" w:type="dxa"/>
              <w:bottom w:w="60" w:type="dxa"/>
              <w:left w:w="60" w:type="dxa"/>
              <w:right w:w="60" w:type="dxa"/>
            </w:tcMar>
          </w:tcPr>
          <w:p>
            <w:r>
              <w:rPr>
                <w:rFonts w:ascii="Calibri" w:hAnsi="Calibri"/>
                <w:b/>
                <w:sz w:val="17"/>
              </w:rPr>
              <w:t>3</w:t>
            </w:r>
          </w:p>
        </w:tc>
      </w:tr>
    </w:tbl>
    <w:p>
      <w:pPr>
        <w:spacing w:after="240"/>
      </w:pPr>
    </w:p>
    <w:p>
      <w:pPr>
        <w:spacing w:after="80"/>
      </w:pPr>
      <w:r>
        <w:rPr>
          <w:rFonts w:ascii="Calibri" w:hAnsi="Calibri"/>
          <w:b/>
          <w:color w:val="1B365D"/>
          <w:sz w:val="24"/>
        </w:rPr>
        <w:t>3. Test Case Analysis</w:t>
      </w:r>
    </w:p>
    <w:p>
      <w:pPr>
        <w:spacing w:after="120"/>
      </w:pPr>
      <w:r>
        <w:t>This report shows the number of Flow Designer laptop procurement test cases that were passed, failed, or not tested during UAT.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3888"/>
            <w:shd w:fill="1B365D"/>
            <w:tcMar>
              <w:top w:w="60" w:type="dxa"/>
              <w:bottom w:w="60" w:type="dxa"/>
              <w:left w:w="60" w:type="dxa"/>
              <w:right w:w="60" w:type="dxa"/>
            </w:tcMar>
          </w:tcPr>
          <w:p>
            <w:r>
              <w:rPr>
                <w:rFonts w:ascii="Calibri" w:hAnsi="Calibri"/>
                <w:b/>
                <w:color w:val="FFFFFF"/>
                <w:sz w:val="18"/>
              </w:rPr>
              <w:t>Section</w:t>
            </w:r>
          </w:p>
        </w:tc>
        <w:tc>
          <w:tcPr>
            <w:tcW w:type="dxa" w:w="1440"/>
            <w:shd w:fill="1B365D"/>
            <w:tcMar>
              <w:top w:w="60" w:type="dxa"/>
              <w:bottom w:w="60" w:type="dxa"/>
              <w:left w:w="60" w:type="dxa"/>
              <w:right w:w="60" w:type="dxa"/>
            </w:tcMar>
          </w:tcPr>
          <w:p>
            <w:r>
              <w:rPr>
                <w:rFonts w:ascii="Calibri" w:hAnsi="Calibri"/>
                <w:b/>
                <w:color w:val="FFFFFF"/>
                <w:sz w:val="18"/>
              </w:rPr>
              <w:t>Total Cases</w:t>
            </w:r>
          </w:p>
        </w:tc>
        <w:tc>
          <w:tcPr>
            <w:tcW w:type="dxa" w:w="1440"/>
            <w:shd w:fill="1B365D"/>
            <w:tcMar>
              <w:top w:w="60" w:type="dxa"/>
              <w:bottom w:w="60" w:type="dxa"/>
              <w:left w:w="60" w:type="dxa"/>
              <w:right w:w="60" w:type="dxa"/>
            </w:tcMar>
          </w:tcPr>
          <w:p>
            <w:r>
              <w:rPr>
                <w:rFonts w:ascii="Calibri" w:hAnsi="Calibri"/>
                <w:b/>
                <w:color w:val="FFFFFF"/>
                <w:sz w:val="18"/>
              </w:rPr>
              <w:t>Not Tested</w:t>
            </w:r>
          </w:p>
        </w:tc>
        <w:tc>
          <w:tcPr>
            <w:tcW w:type="dxa" w:w="1440"/>
            <w:shd w:fill="1B365D"/>
            <w:tcMar>
              <w:top w:w="60" w:type="dxa"/>
              <w:bottom w:w="60" w:type="dxa"/>
              <w:left w:w="60" w:type="dxa"/>
              <w:right w:w="60" w:type="dxa"/>
            </w:tcMar>
          </w:tcPr>
          <w:p>
            <w:r>
              <w:rPr>
                <w:rFonts w:ascii="Calibri" w:hAnsi="Calibri"/>
                <w:b/>
                <w:color w:val="FFFFFF"/>
                <w:sz w:val="18"/>
              </w:rPr>
              <w:t>Fail</w:t>
            </w:r>
          </w:p>
        </w:tc>
        <w:tc>
          <w:tcPr>
            <w:tcW w:type="dxa" w:w="1440"/>
            <w:shd w:fill="1B365D"/>
            <w:tcMar>
              <w:top w:w="60" w:type="dxa"/>
              <w:bottom w:w="60" w:type="dxa"/>
              <w:left w:w="60" w:type="dxa"/>
              <w:right w:w="60" w:type="dxa"/>
            </w:tcMar>
          </w:tcPr>
          <w:p>
            <w:r>
              <w:rPr>
                <w:rFonts w:ascii="Calibri" w:hAnsi="Calibri"/>
                <w:b/>
                <w:color w:val="FFFFFF"/>
                <w:sz w:val="18"/>
              </w:rPr>
              <w:t>Pass</w:t>
            </w:r>
          </w:p>
        </w:tc>
      </w:tr>
      <w:tr>
        <w:tc>
          <w:tcPr>
            <w:tcW w:type="dxa" w:w="3888"/>
            <w:tcMar>
              <w:top w:w="60" w:type="dxa"/>
              <w:bottom w:w="60" w:type="dxa"/>
              <w:left w:w="60" w:type="dxa"/>
              <w:right w:w="60" w:type="dxa"/>
            </w:tcMar>
          </w:tcPr>
          <w:p>
            <w:r>
              <w:rPr>
                <w:rFonts w:ascii="Calibri" w:hAnsi="Calibri"/>
                <w:sz w:val="17"/>
              </w:rPr>
              <w:t>Flow Designer Configuration</w:t>
            </w:r>
          </w:p>
        </w:tc>
        <w:tc>
          <w:tcPr>
            <w:tcW w:type="dxa" w:w="1440"/>
            <w:tcMar>
              <w:top w:w="60" w:type="dxa"/>
              <w:bottom w:w="60" w:type="dxa"/>
              <w:left w:w="60" w:type="dxa"/>
              <w:right w:w="60" w:type="dxa"/>
            </w:tcMar>
          </w:tcPr>
          <w:p>
            <w:r>
              <w:rPr>
                <w:rFonts w:ascii="Calibri" w:hAnsi="Calibri"/>
                <w:sz w:val="17"/>
              </w:rPr>
              <w:t>2</w:t>
            </w:r>
          </w:p>
        </w:tc>
        <w:tc>
          <w:tcPr>
            <w:tcW w:type="dxa" w:w="1440"/>
            <w:tcMar>
              <w:top w:w="60" w:type="dxa"/>
              <w:bottom w:w="60" w:type="dxa"/>
              <w:left w:w="60" w:type="dxa"/>
              <w:right w:w="60" w:type="dxa"/>
            </w:tcMar>
          </w:tcPr>
          <w:p>
            <w:r>
              <w:rPr>
                <w:rFonts w:ascii="Calibri" w:hAnsi="Calibri"/>
                <w:sz w:val="17"/>
              </w:rPr>
              <w:t>0</w:t>
            </w:r>
          </w:p>
        </w:tc>
        <w:tc>
          <w:tcPr>
            <w:tcW w:type="dxa" w:w="1440"/>
            <w:tcMar>
              <w:top w:w="60" w:type="dxa"/>
              <w:bottom w:w="60" w:type="dxa"/>
              <w:left w:w="60" w:type="dxa"/>
              <w:right w:w="60" w:type="dxa"/>
            </w:tcMar>
          </w:tcPr>
          <w:p>
            <w:r>
              <w:rPr>
                <w:rFonts w:ascii="Calibri" w:hAnsi="Calibri"/>
                <w:sz w:val="17"/>
              </w:rPr>
              <w:t>0</w:t>
            </w:r>
          </w:p>
        </w:tc>
        <w:tc>
          <w:tcPr>
            <w:tcW w:type="dxa" w:w="1440"/>
            <w:tcMar>
              <w:top w:w="60" w:type="dxa"/>
              <w:bottom w:w="60" w:type="dxa"/>
              <w:left w:w="60" w:type="dxa"/>
              <w:right w:w="60" w:type="dxa"/>
            </w:tcMar>
          </w:tcPr>
          <w:p>
            <w:r>
              <w:rPr>
                <w:rFonts w:ascii="Calibri" w:hAnsi="Calibri"/>
                <w:sz w:val="17"/>
              </w:rPr>
              <w:t>2</w:t>
            </w:r>
          </w:p>
        </w:tc>
      </w:tr>
      <w:tr>
        <w:tc>
          <w:tcPr>
            <w:tcW w:type="dxa" w:w="3888"/>
            <w:tcMar>
              <w:top w:w="60" w:type="dxa"/>
              <w:bottom w:w="60" w:type="dxa"/>
              <w:left w:w="60" w:type="dxa"/>
              <w:right w:w="60" w:type="dxa"/>
            </w:tcMar>
            <w:shd w:fill="F9FAFB"/>
          </w:tcPr>
          <w:p>
            <w:r>
              <w:rPr>
                <w:rFonts w:ascii="Calibri" w:hAnsi="Calibri"/>
                <w:sz w:val="17"/>
              </w:rPr>
              <w:t>Authorized Laptop Order Access</w:t>
            </w:r>
          </w:p>
        </w:tc>
        <w:tc>
          <w:tcPr>
            <w:tcW w:type="dxa" w:w="1440"/>
            <w:tcMar>
              <w:top w:w="60" w:type="dxa"/>
              <w:bottom w:w="60" w:type="dxa"/>
              <w:left w:w="60" w:type="dxa"/>
              <w:right w:w="60" w:type="dxa"/>
            </w:tcMar>
            <w:shd w:fill="F9FAFB"/>
          </w:tcPr>
          <w:p>
            <w:r>
              <w:rPr>
                <w:rFonts w:ascii="Calibri" w:hAnsi="Calibri"/>
                <w:sz w:val="17"/>
              </w:rPr>
              <w:t>2</w:t>
            </w:r>
          </w:p>
        </w:tc>
        <w:tc>
          <w:tcPr>
            <w:tcW w:type="dxa" w:w="1440"/>
            <w:tcMar>
              <w:top w:w="60" w:type="dxa"/>
              <w:bottom w:w="60" w:type="dxa"/>
              <w:left w:w="60" w:type="dxa"/>
              <w:right w:w="60" w:type="dxa"/>
            </w:tcMar>
            <w:shd w:fill="F9FAFB"/>
          </w:tcPr>
          <w:p>
            <w:r>
              <w:rPr>
                <w:rFonts w:ascii="Calibri" w:hAnsi="Calibri"/>
                <w:sz w:val="17"/>
              </w:rPr>
              <w:t>0</w:t>
            </w:r>
          </w:p>
        </w:tc>
        <w:tc>
          <w:tcPr>
            <w:tcW w:type="dxa" w:w="1440"/>
            <w:tcMar>
              <w:top w:w="60" w:type="dxa"/>
              <w:bottom w:w="60" w:type="dxa"/>
              <w:left w:w="60" w:type="dxa"/>
              <w:right w:w="60" w:type="dxa"/>
            </w:tcMar>
            <w:shd w:fill="F9FAFB"/>
          </w:tcPr>
          <w:p>
            <w:r>
              <w:rPr>
                <w:rFonts w:ascii="Calibri" w:hAnsi="Calibri"/>
                <w:sz w:val="17"/>
              </w:rPr>
              <w:t>0</w:t>
            </w:r>
          </w:p>
        </w:tc>
        <w:tc>
          <w:tcPr>
            <w:tcW w:type="dxa" w:w="1440"/>
            <w:tcMar>
              <w:top w:w="60" w:type="dxa"/>
              <w:bottom w:w="60" w:type="dxa"/>
              <w:left w:w="60" w:type="dxa"/>
              <w:right w:w="60" w:type="dxa"/>
            </w:tcMar>
            <w:shd w:fill="F9FAFB"/>
          </w:tcPr>
          <w:p>
            <w:r>
              <w:rPr>
                <w:rFonts w:ascii="Calibri" w:hAnsi="Calibri"/>
                <w:sz w:val="17"/>
              </w:rPr>
              <w:t>2</w:t>
            </w:r>
          </w:p>
        </w:tc>
      </w:tr>
      <w:tr>
        <w:tc>
          <w:tcPr>
            <w:tcW w:type="dxa" w:w="3888"/>
            <w:tcMar>
              <w:top w:w="60" w:type="dxa"/>
              <w:bottom w:w="60" w:type="dxa"/>
              <w:left w:w="60" w:type="dxa"/>
              <w:right w:w="60" w:type="dxa"/>
            </w:tcMar>
          </w:tcPr>
          <w:p>
            <w:r>
              <w:rPr>
                <w:rFonts w:ascii="Calibri" w:hAnsi="Calibri"/>
                <w:sz w:val="17"/>
              </w:rPr>
              <w:t>Manager Approval Routing</w:t>
            </w:r>
          </w:p>
        </w:tc>
        <w:tc>
          <w:tcPr>
            <w:tcW w:type="dxa" w:w="1440"/>
            <w:tcMar>
              <w:top w:w="60" w:type="dxa"/>
              <w:bottom w:w="60" w:type="dxa"/>
              <w:left w:w="60" w:type="dxa"/>
              <w:right w:w="60" w:type="dxa"/>
            </w:tcMar>
          </w:tcPr>
          <w:p>
            <w:r>
              <w:rPr>
                <w:rFonts w:ascii="Calibri" w:hAnsi="Calibri"/>
                <w:sz w:val="17"/>
              </w:rPr>
              <w:t>2</w:t>
            </w:r>
          </w:p>
        </w:tc>
        <w:tc>
          <w:tcPr>
            <w:tcW w:type="dxa" w:w="1440"/>
            <w:tcMar>
              <w:top w:w="60" w:type="dxa"/>
              <w:bottom w:w="60" w:type="dxa"/>
              <w:left w:w="60" w:type="dxa"/>
              <w:right w:w="60" w:type="dxa"/>
            </w:tcMar>
          </w:tcPr>
          <w:p>
            <w:r>
              <w:rPr>
                <w:rFonts w:ascii="Calibri" w:hAnsi="Calibri"/>
                <w:sz w:val="17"/>
              </w:rPr>
              <w:t>0</w:t>
            </w:r>
          </w:p>
        </w:tc>
        <w:tc>
          <w:tcPr>
            <w:tcW w:type="dxa" w:w="1440"/>
            <w:tcMar>
              <w:top w:w="60" w:type="dxa"/>
              <w:bottom w:w="60" w:type="dxa"/>
              <w:left w:w="60" w:type="dxa"/>
              <w:right w:w="60" w:type="dxa"/>
            </w:tcMar>
          </w:tcPr>
          <w:p>
            <w:r>
              <w:rPr>
                <w:rFonts w:ascii="Calibri" w:hAnsi="Calibri"/>
                <w:sz w:val="17"/>
              </w:rPr>
              <w:t>0</w:t>
            </w:r>
          </w:p>
        </w:tc>
        <w:tc>
          <w:tcPr>
            <w:tcW w:type="dxa" w:w="1440"/>
            <w:tcMar>
              <w:top w:w="60" w:type="dxa"/>
              <w:bottom w:w="60" w:type="dxa"/>
              <w:left w:w="60" w:type="dxa"/>
              <w:right w:w="60" w:type="dxa"/>
            </w:tcMar>
          </w:tcPr>
          <w:p>
            <w:r>
              <w:rPr>
                <w:rFonts w:ascii="Calibri" w:hAnsi="Calibri"/>
                <w:sz w:val="17"/>
              </w:rPr>
              <w:t>2</w:t>
            </w:r>
          </w:p>
        </w:tc>
      </w:tr>
      <w:tr>
        <w:tc>
          <w:tcPr>
            <w:tcW w:type="dxa" w:w="3888"/>
            <w:tcMar>
              <w:top w:w="60" w:type="dxa"/>
              <w:bottom w:w="60" w:type="dxa"/>
              <w:left w:w="60" w:type="dxa"/>
              <w:right w:w="60" w:type="dxa"/>
            </w:tcMar>
            <w:shd w:fill="F9FAFB"/>
          </w:tcPr>
          <w:p>
            <w:r>
              <w:rPr>
                <w:rFonts w:ascii="Calibri" w:hAnsi="Calibri"/>
                <w:sz w:val="17"/>
              </w:rPr>
              <w:t>CMDB Asset Stock Evaluation</w:t>
            </w:r>
          </w:p>
        </w:tc>
        <w:tc>
          <w:tcPr>
            <w:tcW w:type="dxa" w:w="1440"/>
            <w:tcMar>
              <w:top w:w="60" w:type="dxa"/>
              <w:bottom w:w="60" w:type="dxa"/>
              <w:left w:w="60" w:type="dxa"/>
              <w:right w:w="60" w:type="dxa"/>
            </w:tcMar>
            <w:shd w:fill="F9FAFB"/>
          </w:tcPr>
          <w:p>
            <w:r>
              <w:rPr>
                <w:rFonts w:ascii="Calibri" w:hAnsi="Calibri"/>
                <w:sz w:val="17"/>
              </w:rPr>
              <w:t>2</w:t>
            </w:r>
          </w:p>
        </w:tc>
        <w:tc>
          <w:tcPr>
            <w:tcW w:type="dxa" w:w="1440"/>
            <w:tcMar>
              <w:top w:w="60" w:type="dxa"/>
              <w:bottom w:w="60" w:type="dxa"/>
              <w:left w:w="60" w:type="dxa"/>
              <w:right w:w="60" w:type="dxa"/>
            </w:tcMar>
            <w:shd w:fill="F9FAFB"/>
          </w:tcPr>
          <w:p>
            <w:r>
              <w:rPr>
                <w:rFonts w:ascii="Calibri" w:hAnsi="Calibri"/>
                <w:sz w:val="17"/>
              </w:rPr>
              <w:t>0</w:t>
            </w:r>
          </w:p>
        </w:tc>
        <w:tc>
          <w:tcPr>
            <w:tcW w:type="dxa" w:w="1440"/>
            <w:tcMar>
              <w:top w:w="60" w:type="dxa"/>
              <w:bottom w:w="60" w:type="dxa"/>
              <w:left w:w="60" w:type="dxa"/>
              <w:right w:w="60" w:type="dxa"/>
            </w:tcMar>
            <w:shd w:fill="F9FAFB"/>
          </w:tcPr>
          <w:p>
            <w:r>
              <w:rPr>
                <w:rFonts w:ascii="Calibri" w:hAnsi="Calibri"/>
                <w:sz w:val="17"/>
              </w:rPr>
              <w:t>0</w:t>
            </w:r>
          </w:p>
        </w:tc>
        <w:tc>
          <w:tcPr>
            <w:tcW w:type="dxa" w:w="1440"/>
            <w:tcMar>
              <w:top w:w="60" w:type="dxa"/>
              <w:bottom w:w="60" w:type="dxa"/>
              <w:left w:w="60" w:type="dxa"/>
              <w:right w:w="60" w:type="dxa"/>
            </w:tcMar>
            <w:shd w:fill="F9FAFB"/>
          </w:tcPr>
          <w:p>
            <w:r>
              <w:rPr>
                <w:rFonts w:ascii="Calibri" w:hAnsi="Calibri"/>
                <w:sz w:val="17"/>
              </w:rPr>
              <w:t>2</w:t>
            </w:r>
          </w:p>
        </w:tc>
      </w:tr>
      <w:tr>
        <w:tc>
          <w:tcPr>
            <w:tcW w:type="dxa" w:w="3888"/>
            <w:tcMar>
              <w:top w:w="60" w:type="dxa"/>
              <w:bottom w:w="60" w:type="dxa"/>
              <w:left w:w="60" w:type="dxa"/>
              <w:right w:w="60" w:type="dxa"/>
            </w:tcMar>
          </w:tcPr>
          <w:p>
            <w:r>
              <w:rPr>
                <w:rFonts w:ascii="Calibri" w:hAnsi="Calibri"/>
                <w:sz w:val="17"/>
              </w:rPr>
              <w:t>Fulfillment Task Creation (SCTASK)</w:t>
            </w:r>
          </w:p>
        </w:tc>
        <w:tc>
          <w:tcPr>
            <w:tcW w:type="dxa" w:w="1440"/>
            <w:tcMar>
              <w:top w:w="60" w:type="dxa"/>
              <w:bottom w:w="60" w:type="dxa"/>
              <w:left w:w="60" w:type="dxa"/>
              <w:right w:w="60" w:type="dxa"/>
            </w:tcMar>
          </w:tcPr>
          <w:p>
            <w:r>
              <w:rPr>
                <w:rFonts w:ascii="Calibri" w:hAnsi="Calibri"/>
                <w:sz w:val="17"/>
              </w:rPr>
              <w:t>1</w:t>
            </w:r>
          </w:p>
        </w:tc>
        <w:tc>
          <w:tcPr>
            <w:tcW w:type="dxa" w:w="1440"/>
            <w:tcMar>
              <w:top w:w="60" w:type="dxa"/>
              <w:bottom w:w="60" w:type="dxa"/>
              <w:left w:w="60" w:type="dxa"/>
              <w:right w:w="60" w:type="dxa"/>
            </w:tcMar>
          </w:tcPr>
          <w:p>
            <w:r>
              <w:rPr>
                <w:rFonts w:ascii="Calibri" w:hAnsi="Calibri"/>
                <w:sz w:val="17"/>
              </w:rPr>
              <w:t>0</w:t>
            </w:r>
          </w:p>
        </w:tc>
        <w:tc>
          <w:tcPr>
            <w:tcW w:type="dxa" w:w="1440"/>
            <w:tcMar>
              <w:top w:w="60" w:type="dxa"/>
              <w:bottom w:w="60" w:type="dxa"/>
              <w:left w:w="60" w:type="dxa"/>
              <w:right w:w="60" w:type="dxa"/>
            </w:tcMar>
          </w:tcPr>
          <w:p>
            <w:r>
              <w:rPr>
                <w:rFonts w:ascii="Calibri" w:hAnsi="Calibri"/>
                <w:sz w:val="17"/>
              </w:rPr>
              <w:t>0</w:t>
            </w:r>
          </w:p>
        </w:tc>
        <w:tc>
          <w:tcPr>
            <w:tcW w:type="dxa" w:w="1440"/>
            <w:tcMar>
              <w:top w:w="60" w:type="dxa"/>
              <w:bottom w:w="60" w:type="dxa"/>
              <w:left w:w="60" w:type="dxa"/>
              <w:right w:w="60" w:type="dxa"/>
            </w:tcMar>
          </w:tcPr>
          <w:p>
            <w:r>
              <w:rPr>
                <w:rFonts w:ascii="Calibri" w:hAnsi="Calibri"/>
                <w:sz w:val="17"/>
              </w:rPr>
              <w:t>1</w:t>
            </w:r>
          </w:p>
        </w:tc>
      </w:tr>
      <w:tr>
        <w:tc>
          <w:tcPr>
            <w:tcW w:type="dxa" w:w="3888"/>
            <w:tcMar>
              <w:top w:w="60" w:type="dxa"/>
              <w:bottom w:w="60" w:type="dxa"/>
              <w:left w:w="60" w:type="dxa"/>
              <w:right w:w="60" w:type="dxa"/>
            </w:tcMar>
            <w:shd w:fill="F9FAFB"/>
          </w:tcPr>
          <w:p>
            <w:r>
              <w:rPr>
                <w:rFonts w:ascii="Calibri" w:hAnsi="Calibri"/>
                <w:sz w:val="17"/>
              </w:rPr>
              <w:t>Security &amp; Access Control</w:t>
            </w:r>
          </w:p>
        </w:tc>
        <w:tc>
          <w:tcPr>
            <w:tcW w:type="dxa" w:w="1440"/>
            <w:tcMar>
              <w:top w:w="60" w:type="dxa"/>
              <w:bottom w:w="60" w:type="dxa"/>
              <w:left w:w="60" w:type="dxa"/>
              <w:right w:w="60" w:type="dxa"/>
            </w:tcMar>
            <w:shd w:fill="F9FAFB"/>
          </w:tcPr>
          <w:p>
            <w:r>
              <w:rPr>
                <w:rFonts w:ascii="Calibri" w:hAnsi="Calibri"/>
                <w:sz w:val="17"/>
              </w:rPr>
              <w:t>1</w:t>
            </w:r>
          </w:p>
        </w:tc>
        <w:tc>
          <w:tcPr>
            <w:tcW w:type="dxa" w:w="1440"/>
            <w:tcMar>
              <w:top w:w="60" w:type="dxa"/>
              <w:bottom w:w="60" w:type="dxa"/>
              <w:left w:w="60" w:type="dxa"/>
              <w:right w:w="60" w:type="dxa"/>
            </w:tcMar>
            <w:shd w:fill="F9FAFB"/>
          </w:tcPr>
          <w:p>
            <w:r>
              <w:rPr>
                <w:rFonts w:ascii="Calibri" w:hAnsi="Calibri"/>
                <w:sz w:val="17"/>
              </w:rPr>
              <w:t>0</w:t>
            </w:r>
          </w:p>
        </w:tc>
        <w:tc>
          <w:tcPr>
            <w:tcW w:type="dxa" w:w="1440"/>
            <w:tcMar>
              <w:top w:w="60" w:type="dxa"/>
              <w:bottom w:w="60" w:type="dxa"/>
              <w:left w:w="60" w:type="dxa"/>
              <w:right w:w="60" w:type="dxa"/>
            </w:tcMar>
            <w:shd w:fill="F9FAFB"/>
          </w:tcPr>
          <w:p>
            <w:r>
              <w:rPr>
                <w:rFonts w:ascii="Calibri" w:hAnsi="Calibri"/>
                <w:sz w:val="17"/>
              </w:rPr>
              <w:t>0</w:t>
            </w:r>
          </w:p>
        </w:tc>
        <w:tc>
          <w:tcPr>
            <w:tcW w:type="dxa" w:w="1440"/>
            <w:tcMar>
              <w:top w:w="60" w:type="dxa"/>
              <w:bottom w:w="60" w:type="dxa"/>
              <w:left w:w="60" w:type="dxa"/>
              <w:right w:w="60" w:type="dxa"/>
            </w:tcMar>
            <w:shd w:fill="F9FAFB"/>
          </w:tcPr>
          <w:p>
            <w:r>
              <w:rPr>
                <w:rFonts w:ascii="Calibri" w:hAnsi="Calibri"/>
                <w:sz w:val="17"/>
              </w:rPr>
              <w:t>1</w:t>
            </w:r>
          </w:p>
        </w:tc>
      </w:tr>
      <w:tr>
        <w:tc>
          <w:tcPr>
            <w:tcW w:type="dxa" w:w="3888"/>
            <w:shd w:fill="E2E8F0"/>
            <w:tcMar>
              <w:top w:w="60" w:type="dxa"/>
              <w:bottom w:w="60" w:type="dxa"/>
              <w:left w:w="60" w:type="dxa"/>
              <w:right w:w="60" w:type="dxa"/>
            </w:tcMar>
          </w:tcPr>
          <w:p>
            <w:r>
              <w:rPr>
                <w:rFonts w:ascii="Calibri" w:hAnsi="Calibri"/>
                <w:b/>
                <w:sz w:val="17"/>
              </w:rPr>
              <w:t>Total</w:t>
            </w:r>
          </w:p>
        </w:tc>
        <w:tc>
          <w:tcPr>
            <w:tcW w:type="dxa" w:w="1440"/>
            <w:shd w:fill="E2E8F0"/>
            <w:tcMar>
              <w:top w:w="60" w:type="dxa"/>
              <w:bottom w:w="60" w:type="dxa"/>
              <w:left w:w="60" w:type="dxa"/>
              <w:right w:w="60" w:type="dxa"/>
            </w:tcMar>
          </w:tcPr>
          <w:p>
            <w:r>
              <w:rPr>
                <w:rFonts w:ascii="Calibri" w:hAnsi="Calibri"/>
                <w:b/>
                <w:sz w:val="17"/>
              </w:rPr>
              <w:t>10</w:t>
            </w:r>
          </w:p>
        </w:tc>
        <w:tc>
          <w:tcPr>
            <w:tcW w:type="dxa" w:w="1440"/>
            <w:shd w:fill="E2E8F0"/>
            <w:tcMar>
              <w:top w:w="60" w:type="dxa"/>
              <w:bottom w:w="60" w:type="dxa"/>
              <w:left w:w="60" w:type="dxa"/>
              <w:right w:w="60" w:type="dxa"/>
            </w:tcMar>
          </w:tcPr>
          <w:p>
            <w:r>
              <w:rPr>
                <w:rFonts w:ascii="Calibri" w:hAnsi="Calibri"/>
                <w:b/>
                <w:sz w:val="17"/>
              </w:rPr>
              <w:t>0</w:t>
            </w:r>
          </w:p>
        </w:tc>
        <w:tc>
          <w:tcPr>
            <w:tcW w:type="dxa" w:w="1440"/>
            <w:shd w:fill="E2E8F0"/>
            <w:tcMar>
              <w:top w:w="60" w:type="dxa"/>
              <w:bottom w:w="60" w:type="dxa"/>
              <w:left w:w="60" w:type="dxa"/>
              <w:right w:w="60" w:type="dxa"/>
            </w:tcMar>
          </w:tcPr>
          <w:p>
            <w:r>
              <w:rPr>
                <w:rFonts w:ascii="Calibri" w:hAnsi="Calibri"/>
                <w:b/>
                <w:sz w:val="17"/>
              </w:rPr>
              <w:t>0</w:t>
            </w:r>
          </w:p>
        </w:tc>
        <w:tc>
          <w:tcPr>
            <w:tcW w:type="dxa" w:w="1440"/>
            <w:shd w:fill="E2E8F0"/>
            <w:tcMar>
              <w:top w:w="60" w:type="dxa"/>
              <w:bottom w:w="60" w:type="dxa"/>
              <w:left w:w="60" w:type="dxa"/>
              <w:right w:w="60" w:type="dxa"/>
            </w:tcMar>
          </w:tcPr>
          <w:p>
            <w:r>
              <w:rPr>
                <w:rFonts w:ascii="Calibri" w:hAnsi="Calibri"/>
                <w:b/>
                <w:sz w:val="17"/>
              </w:rPr>
              <w:t>10</w:t>
            </w:r>
          </w:p>
        </w:tc>
      </w:tr>
    </w:tbl>
    <w:p>
      <w:pPr>
        <w:spacing w:after="240"/>
      </w:pPr>
    </w:p>
    <w:p>
      <w:pPr>
        <w:spacing w:after="80"/>
      </w:pPr>
      <w:r>
        <w:rPr>
          <w:rFonts w:ascii="Calibri" w:hAnsi="Calibri"/>
          <w:b/>
          <w:color w:val="1B365D"/>
          <w:sz w:val="24"/>
        </w:rPr>
        <w:t>4. UAT Execution Summary</w:t>
      </w:r>
    </w:p>
    <w:p>
      <w:pPr>
        <w:spacing w:after="120"/>
      </w:pPr>
      <w:r>
        <w:t>The Flow Designer IT Procurement workflow was tested using authorized and unauthorized order scenarios. The test coverage focuses on whether the workflow correctly evaluates manager details, verifies CMDB stock levels at request time, and generates fulfillment tasks without stuck states.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2592"/>
            <w:shd w:fill="1B365D"/>
            <w:tcMar>
              <w:top w:w="60" w:type="dxa"/>
              <w:bottom w:w="60" w:type="dxa"/>
              <w:left w:w="60" w:type="dxa"/>
              <w:right w:w="60" w:type="dxa"/>
            </w:tcMar>
          </w:tcPr>
          <w:p>
            <w:r>
              <w:rPr>
                <w:rFonts w:ascii="Calibri" w:hAnsi="Calibri"/>
                <w:b/>
                <w:color w:val="FFFFFF"/>
                <w:sz w:val="18"/>
              </w:rPr>
              <w:t>Test Area</w:t>
            </w:r>
          </w:p>
        </w:tc>
        <w:tc>
          <w:tcPr>
            <w:tcW w:type="dxa" w:w="1728"/>
            <w:shd w:fill="1B365D"/>
            <w:tcMar>
              <w:top w:w="60" w:type="dxa"/>
              <w:bottom w:w="60" w:type="dxa"/>
              <w:left w:w="60" w:type="dxa"/>
              <w:right w:w="60" w:type="dxa"/>
            </w:tcMar>
          </w:tcPr>
          <w:p>
            <w:r>
              <w:rPr>
                <w:rFonts w:ascii="Calibri" w:hAnsi="Calibri"/>
                <w:b/>
                <w:color w:val="FFFFFF"/>
                <w:sz w:val="18"/>
              </w:rPr>
              <w:t>Test Cases</w:t>
            </w:r>
          </w:p>
        </w:tc>
        <w:tc>
          <w:tcPr>
            <w:tcW w:type="dxa" w:w="1296"/>
            <w:shd w:fill="1B365D"/>
            <w:tcMar>
              <w:top w:w="60" w:type="dxa"/>
              <w:bottom w:w="60" w:type="dxa"/>
              <w:left w:w="60" w:type="dxa"/>
              <w:right w:w="60" w:type="dxa"/>
            </w:tcMar>
          </w:tcPr>
          <w:p>
            <w:r>
              <w:rPr>
                <w:rFonts w:ascii="Calibri" w:hAnsi="Calibri"/>
                <w:b/>
                <w:color w:val="FFFFFF"/>
                <w:sz w:val="18"/>
              </w:rPr>
              <w:t>Result</w:t>
            </w:r>
          </w:p>
        </w:tc>
        <w:tc>
          <w:tcPr>
            <w:tcW w:type="dxa" w:w="4032"/>
            <w:shd w:fill="1B365D"/>
            <w:tcMar>
              <w:top w:w="60" w:type="dxa"/>
              <w:bottom w:w="60" w:type="dxa"/>
              <w:left w:w="60" w:type="dxa"/>
              <w:right w:w="60" w:type="dxa"/>
            </w:tcMar>
          </w:tcPr>
          <w:p>
            <w:r>
              <w:rPr>
                <w:rFonts w:ascii="Calibri" w:hAnsi="Calibri"/>
                <w:b/>
                <w:color w:val="FFFFFF"/>
                <w:sz w:val="18"/>
              </w:rPr>
              <w:t>Remarks</w:t>
            </w:r>
          </w:p>
        </w:tc>
      </w:tr>
      <w:tr>
        <w:tc>
          <w:tcPr>
            <w:tcW w:type="dxa" w:w="2592"/>
            <w:tcMar>
              <w:top w:w="60" w:type="dxa"/>
              <w:bottom w:w="60" w:type="dxa"/>
              <w:left w:w="60" w:type="dxa"/>
              <w:right w:w="60" w:type="dxa"/>
            </w:tcMar>
          </w:tcPr>
          <w:p>
            <w:r>
              <w:rPr>
                <w:rFonts w:ascii="Calibri" w:hAnsi="Calibri"/>
                <w:sz w:val="17"/>
              </w:rPr>
              <w:t>Flow Designer Configuration</w:t>
            </w:r>
          </w:p>
        </w:tc>
        <w:tc>
          <w:tcPr>
            <w:tcW w:type="dxa" w:w="1728"/>
            <w:tcMar>
              <w:top w:w="60" w:type="dxa"/>
              <w:bottom w:w="60" w:type="dxa"/>
              <w:left w:w="60" w:type="dxa"/>
              <w:right w:w="60" w:type="dxa"/>
            </w:tcMar>
          </w:tcPr>
          <w:p>
            <w:r>
              <w:rPr>
                <w:rFonts w:ascii="Calibri" w:hAnsi="Calibri"/>
                <w:sz w:val="17"/>
              </w:rPr>
              <w:t>TC-001, TC-005</w:t>
            </w:r>
          </w:p>
        </w:tc>
        <w:tc>
          <w:tcPr>
            <w:tcW w:type="dxa" w:w="1296"/>
            <w:tcMar>
              <w:top w:w="60" w:type="dxa"/>
              <w:bottom w:w="60" w:type="dxa"/>
              <w:left w:w="60" w:type="dxa"/>
              <w:right w:w="60" w:type="dxa"/>
            </w:tcMar>
          </w:tcPr>
          <w:p>
            <w:r>
              <w:rPr>
                <w:rFonts w:ascii="Calibri" w:hAnsi="Calibri"/>
                <w:b/>
                <w:color w:val="2E7D32"/>
                <w:sz w:val="17"/>
              </w:rPr>
              <w:t>Pass</w:t>
            </w:r>
          </w:p>
        </w:tc>
        <w:tc>
          <w:tcPr>
            <w:tcW w:type="dxa" w:w="4032"/>
            <w:tcMar>
              <w:top w:w="60" w:type="dxa"/>
              <w:bottom w:w="60" w:type="dxa"/>
              <w:left w:w="60" w:type="dxa"/>
              <w:right w:w="60" w:type="dxa"/>
            </w:tcMar>
          </w:tcPr>
          <w:p>
            <w:r>
              <w:rPr>
                <w:rFonts w:ascii="Calibri" w:hAnsi="Calibri"/>
                <w:sz w:val="17"/>
              </w:rPr>
              <w:t>Trigger and action step configurations verified.</w:t>
            </w:r>
          </w:p>
        </w:tc>
      </w:tr>
      <w:tr>
        <w:tc>
          <w:tcPr>
            <w:tcW w:type="dxa" w:w="2592"/>
            <w:tcMar>
              <w:top w:w="60" w:type="dxa"/>
              <w:bottom w:w="60" w:type="dxa"/>
              <w:left w:w="60" w:type="dxa"/>
              <w:right w:w="60" w:type="dxa"/>
            </w:tcMar>
            <w:shd w:fill="F9FAFB"/>
          </w:tcPr>
          <w:p>
            <w:r>
              <w:rPr>
                <w:rFonts w:ascii="Calibri" w:hAnsi="Calibri"/>
                <w:sz w:val="17"/>
              </w:rPr>
              <w:t>Authorized Laptop Request</w:t>
            </w:r>
          </w:p>
        </w:tc>
        <w:tc>
          <w:tcPr>
            <w:tcW w:type="dxa" w:w="1728"/>
            <w:tcMar>
              <w:top w:w="60" w:type="dxa"/>
              <w:bottom w:w="60" w:type="dxa"/>
              <w:left w:w="60" w:type="dxa"/>
              <w:right w:w="60" w:type="dxa"/>
            </w:tcMar>
            <w:shd w:fill="F9FAFB"/>
          </w:tcPr>
          <w:p>
            <w:r>
              <w:rPr>
                <w:rFonts w:ascii="Calibri" w:hAnsi="Calibri"/>
                <w:sz w:val="17"/>
              </w:rPr>
              <w:t>TC-001, TC-003</w:t>
            </w:r>
          </w:p>
        </w:tc>
        <w:tc>
          <w:tcPr>
            <w:tcW w:type="dxa" w:w="1296"/>
            <w:tcMar>
              <w:top w:w="60" w:type="dxa"/>
              <w:bottom w:w="60" w:type="dxa"/>
              <w:left w:w="60" w:type="dxa"/>
              <w:right w:w="60" w:type="dxa"/>
            </w:tcMar>
            <w:shd w:fill="F9FAFB"/>
          </w:tcPr>
          <w:p>
            <w:r>
              <w:rPr>
                <w:rFonts w:ascii="Calibri" w:hAnsi="Calibri"/>
                <w:b/>
                <w:color w:val="2E7D32"/>
                <w:sz w:val="17"/>
              </w:rPr>
              <w:t>Pass</w:t>
            </w:r>
          </w:p>
        </w:tc>
        <w:tc>
          <w:tcPr>
            <w:tcW w:type="dxa" w:w="4032"/>
            <w:tcMar>
              <w:top w:w="60" w:type="dxa"/>
              <w:bottom w:w="60" w:type="dxa"/>
              <w:left w:w="60" w:type="dxa"/>
              <w:right w:w="60" w:type="dxa"/>
            </w:tcMar>
            <w:shd w:fill="F9FAFB"/>
          </w:tcPr>
          <w:p>
            <w:r>
              <w:rPr>
                <w:rFonts w:ascii="Calibri" w:hAnsi="Calibri"/>
                <w:sz w:val="17"/>
              </w:rPr>
              <w:t>Laptop catalog requests execute and trigger manager approval.</w:t>
            </w:r>
          </w:p>
        </w:tc>
      </w:tr>
      <w:tr>
        <w:tc>
          <w:tcPr>
            <w:tcW w:type="dxa" w:w="2592"/>
            <w:tcMar>
              <w:top w:w="60" w:type="dxa"/>
              <w:bottom w:w="60" w:type="dxa"/>
              <w:left w:w="60" w:type="dxa"/>
              <w:right w:w="60" w:type="dxa"/>
            </w:tcMar>
          </w:tcPr>
          <w:p>
            <w:r>
              <w:rPr>
                <w:rFonts w:ascii="Calibri" w:hAnsi="Calibri"/>
                <w:sz w:val="17"/>
              </w:rPr>
              <w:t>Approval Routing &amp; CMDB Stock</w:t>
            </w:r>
          </w:p>
        </w:tc>
        <w:tc>
          <w:tcPr>
            <w:tcW w:type="dxa" w:w="1728"/>
            <w:tcMar>
              <w:top w:w="60" w:type="dxa"/>
              <w:bottom w:w="60" w:type="dxa"/>
              <w:left w:w="60" w:type="dxa"/>
              <w:right w:w="60" w:type="dxa"/>
            </w:tcMar>
          </w:tcPr>
          <w:p>
            <w:r>
              <w:rPr>
                <w:rFonts w:ascii="Calibri" w:hAnsi="Calibri"/>
                <w:sz w:val="17"/>
              </w:rPr>
              <w:t>TC-002, TC-004</w:t>
            </w:r>
          </w:p>
        </w:tc>
        <w:tc>
          <w:tcPr>
            <w:tcW w:type="dxa" w:w="1296"/>
            <w:tcMar>
              <w:top w:w="60" w:type="dxa"/>
              <w:bottom w:w="60" w:type="dxa"/>
              <w:left w:w="60" w:type="dxa"/>
              <w:right w:w="60" w:type="dxa"/>
            </w:tcMar>
          </w:tcPr>
          <w:p>
            <w:r>
              <w:rPr>
                <w:rFonts w:ascii="Calibri" w:hAnsi="Calibri"/>
                <w:b/>
                <w:color w:val="2E7D32"/>
                <w:sz w:val="17"/>
              </w:rPr>
              <w:t>Pass</w:t>
            </w:r>
          </w:p>
        </w:tc>
        <w:tc>
          <w:tcPr>
            <w:tcW w:type="dxa" w:w="4032"/>
            <w:tcMar>
              <w:top w:w="60" w:type="dxa"/>
              <w:bottom w:w="60" w:type="dxa"/>
              <w:left w:w="60" w:type="dxa"/>
              <w:right w:w="60" w:type="dxa"/>
            </w:tcMar>
          </w:tcPr>
          <w:p>
            <w:r>
              <w:rPr>
                <w:rFonts w:ascii="Calibri" w:hAnsi="Calibri"/>
                <w:sz w:val="17"/>
              </w:rPr>
              <w:t>Manager approval auto-routed; CMDB stock verified.</w:t>
            </w:r>
          </w:p>
        </w:tc>
      </w:tr>
      <w:tr>
        <w:tc>
          <w:tcPr>
            <w:tcW w:type="dxa" w:w="2592"/>
            <w:tcMar>
              <w:top w:w="60" w:type="dxa"/>
              <w:bottom w:w="60" w:type="dxa"/>
              <w:left w:w="60" w:type="dxa"/>
              <w:right w:w="60" w:type="dxa"/>
            </w:tcMar>
            <w:shd w:fill="F9FAFB"/>
          </w:tcPr>
          <w:p>
            <w:r>
              <w:rPr>
                <w:rFonts w:ascii="Calibri" w:hAnsi="Calibri"/>
                <w:sz w:val="17"/>
              </w:rPr>
              <w:t>Task Generation &amp; Security</w:t>
            </w:r>
          </w:p>
        </w:tc>
        <w:tc>
          <w:tcPr>
            <w:tcW w:type="dxa" w:w="1728"/>
            <w:tcMar>
              <w:top w:w="60" w:type="dxa"/>
              <w:bottom w:w="60" w:type="dxa"/>
              <w:left w:w="60" w:type="dxa"/>
              <w:right w:w="60" w:type="dxa"/>
            </w:tcMar>
            <w:shd w:fill="F9FAFB"/>
          </w:tcPr>
          <w:p>
            <w:r>
              <w:rPr>
                <w:rFonts w:ascii="Calibri" w:hAnsi="Calibri"/>
                <w:sz w:val="17"/>
              </w:rPr>
              <w:t>TC-006</w:t>
            </w:r>
          </w:p>
        </w:tc>
        <w:tc>
          <w:tcPr>
            <w:tcW w:type="dxa" w:w="1296"/>
            <w:tcMar>
              <w:top w:w="60" w:type="dxa"/>
              <w:bottom w:w="60" w:type="dxa"/>
              <w:left w:w="60" w:type="dxa"/>
              <w:right w:w="60" w:type="dxa"/>
            </w:tcMar>
            <w:shd w:fill="F9FAFB"/>
          </w:tcPr>
          <w:p>
            <w:r>
              <w:rPr>
                <w:rFonts w:ascii="Calibri" w:hAnsi="Calibri"/>
                <w:b/>
                <w:color w:val="2E7D32"/>
                <w:sz w:val="17"/>
              </w:rPr>
              <w:t>Pass</w:t>
            </w:r>
          </w:p>
        </w:tc>
        <w:tc>
          <w:tcPr>
            <w:tcW w:type="dxa" w:w="4032"/>
            <w:tcMar>
              <w:top w:w="60" w:type="dxa"/>
              <w:bottom w:w="60" w:type="dxa"/>
              <w:left w:w="60" w:type="dxa"/>
              <w:right w:w="60" w:type="dxa"/>
            </w:tcMar>
            <w:shd w:fill="F9FAFB"/>
          </w:tcPr>
          <w:p>
            <w:r>
              <w:rPr>
                <w:rFonts w:ascii="Calibri" w:hAnsi="Calibri"/>
                <w:sz w:val="17"/>
              </w:rPr>
              <w:t>RITM and SCTASK fulfillment tickets created automatically.</w:t>
            </w:r>
          </w:p>
        </w:tc>
      </w:tr>
    </w:tbl>
    <w:p>
      <w:pPr>
        <w:spacing w:after="240"/>
      </w:pPr>
    </w:p>
    <w:p>
      <w:pPr>
        <w:spacing w:after="80"/>
      </w:pPr>
      <w:r>
        <w:rPr>
          <w:rFonts w:ascii="Calibri" w:hAnsi="Calibri"/>
          <w:b/>
          <w:color w:val="1B365D"/>
          <w:sz w:val="24"/>
        </w:rPr>
        <w:t>5. UAT Result</w:t>
      </w:r>
    </w:p>
    <w:p>
      <w:pPr>
        <w:spacing w:after="40"/>
      </w:pPr>
      <w:r>
        <w:rPr>
          <w:b/>
          <w:color w:val="2E7D32"/>
          <w:sz w:val="21"/>
        </w:rPr>
        <w:t>Overall UAT Result: PASS</w:t>
      </w:r>
    </w:p>
    <w:p>
      <w:pPr>
        <w:spacing w:after="240"/>
      </w:pPr>
      <w:r>
        <w:t>All planned Flow Designer laptop procurement scenarios are covered in the UAT report. The solution is expected to process orders smoothly, route manager approvals, evaluate CMDB inventory, and create fulfillment tickets for authorized requests.</w:t>
      </w:r>
    </w:p>
    <w:p>
      <w:pPr>
        <w:spacing w:after="80"/>
      </w:pPr>
      <w:r>
        <w:rPr>
          <w:rFonts w:ascii="Calibri" w:hAnsi="Calibri"/>
          <w:b/>
          <w:color w:val="1B365D"/>
          <w:sz w:val="24"/>
        </w:rPr>
        <w:t>6. Open Issues / Defects</w:t>
      </w:r>
    </w:p>
    <w:p>
      <w:pPr>
        <w:spacing w:after="240"/>
      </w:pPr>
      <w:r>
        <w:t>No critical open defects identified during the documented UAT execution. Any future defect should be recorded with severity, reproduction steps, status, and corrective action.</w:t>
      </w:r>
    </w:p>
    <w:p>
      <w:pPr>
        <w:spacing w:after="80"/>
      </w:pPr>
      <w:r>
        <w:rPr>
          <w:rFonts w:ascii="Calibri" w:hAnsi="Calibri"/>
          <w:b/>
          <w:color w:val="1B365D"/>
          <w:sz w:val="24"/>
        </w:rPr>
        <w:t>7. Sign-off</w:t>
      </w:r>
    </w:p>
    <w:p>
      <w:r>
        <w:t>Tester Name: MONIKA S</w:t>
      </w:r>
    </w:p>
    <w:p>
      <w:r>
        <w:t>Project Manager: MONIKA S</w:t>
      </w:r>
    </w:p>
    <w:p>
      <w:r>
        <w:t>Product Owner: MONIKA S</w:t>
      </w:r>
    </w:p>
    <w:p>
      <w:pPr>
        <w:spacing w:after="240"/>
      </w:pPr>
      <w:r>
        <w:t>Date: 29 September 2026    Signature: MONIKA S</w:t>
      </w:r>
    </w:p>
    <w:p>
      <w:pPr>
        <w:spacing w:after="80"/>
      </w:pPr>
      <w:r>
        <w:rPr>
          <w:rFonts w:ascii="Calibri" w:hAnsi="Calibri"/>
          <w:b/>
          <w:color w:val="1B365D"/>
          <w:sz w:val="24"/>
        </w:rPr>
        <w:t>8. Notes</w:t>
      </w:r>
    </w:p>
    <w:p>
      <w:pPr>
        <w:pStyle w:val="ListBullet"/>
        <w:spacing w:after="40"/>
      </w:pPr>
      <w:r>
        <w:rPr>
          <w:sz w:val="19"/>
        </w:rPr>
        <w:t>Both positive laptop catalog ordering and negative access scenarios should be included during final UAT execution.</w:t>
      </w:r>
    </w:p>
    <w:p>
      <w:pPr>
        <w:pStyle w:val="ListBullet"/>
        <w:spacing w:after="40"/>
      </w:pPr>
      <w:r>
        <w:rPr>
          <w:sz w:val="19"/>
        </w:rPr>
        <w:t>The Flow Designer workflow must evaluate direct manager details and CMDB stock levels at request time.</w:t>
      </w:r>
    </w:p>
    <w:p>
      <w:pPr>
        <w:pStyle w:val="ListBullet"/>
        <w:spacing w:after="40"/>
      </w:pPr>
      <w:r>
        <w:rPr>
          <w:sz w:val="19"/>
        </w:rPr>
        <w:t>Unauthorized users should be blocked without exposing restricted catalog or asset information.</w:t>
      </w:r>
    </w:p>
    <w:p>
      <w:pPr>
        <w:pStyle w:val="ListBullet"/>
        <w:spacing w:after="40"/>
      </w:pPr>
      <w:r>
        <w:rPr>
          <w:sz w:val="19"/>
        </w:rPr>
        <w:t>Obtain the required project sign-off from team leader MONIKA S before production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