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Calibri" w:hAnsi="Calibri"/>
          <w:b/>
          <w:color w:val="1B365D"/>
          <w:sz w:val="40"/>
        </w:rPr>
        <w:t>Scalability &amp; Future Plan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968"/>
        <w:gridCol w:w="4968"/>
      </w:tblGrid>
      <w:tr>
        <w:tc>
          <w:tcPr>
            <w:tcW w:type="dxa" w:w="3168"/>
            <w:shd w:fill="F2F4F7"/>
            <w:tcMar>
              <w:top w:w="80" w:type="dxa"/>
              <w:bottom w:w="80" w:type="dxa"/>
              <w:left w:w="120" w:type="dxa"/>
              <w:right w:w="120" w:type="dxa"/>
            </w:tcMar>
          </w:tcPr>
          <w:p>
            <w:r>
              <w:rPr>
                <w:rFonts w:ascii="Calibri" w:hAnsi="Calibri"/>
                <w:b/>
                <w:sz w:val="20"/>
              </w:rPr>
              <w:t>Date</w:t>
            </w:r>
          </w:p>
        </w:tc>
        <w:tc>
          <w:tcPr>
            <w:tcW w:type="dxa" w:w="6480"/>
            <w:tcMar>
              <w:top w:w="80" w:type="dxa"/>
              <w:bottom w:w="80" w:type="dxa"/>
              <w:left w:w="120" w:type="dxa"/>
              <w:right w:w="120" w:type="dxa"/>
            </w:tcMar>
          </w:tcPr>
          <w:p>
            <w:r>
              <w:rPr>
                <w:rFonts w:ascii="Calibri" w:hAnsi="Calibri"/>
                <w:sz w:val="20"/>
              </w:rPr>
              <w:t>30 September 2026</w:t>
            </w:r>
          </w:p>
        </w:tc>
      </w:tr>
      <w:tr>
        <w:tc>
          <w:tcPr>
            <w:tcW w:type="dxa" w:w="3168"/>
            <w:shd w:fill="F2F4F7"/>
            <w:tcMar>
              <w:top w:w="80" w:type="dxa"/>
              <w:bottom w:w="80" w:type="dxa"/>
              <w:left w:w="120" w:type="dxa"/>
              <w:right w:w="120" w:type="dxa"/>
            </w:tcMar>
          </w:tcPr>
          <w:p>
            <w:r>
              <w:rPr>
                <w:rFonts w:ascii="Calibri" w:hAnsi="Calibri"/>
                <w:b/>
                <w:sz w:val="20"/>
              </w:rPr>
              <w:t>Team ID</w:t>
            </w:r>
          </w:p>
        </w:tc>
        <w:tc>
          <w:tcPr>
            <w:tcW w:type="dxa" w:w="6480"/>
            <w:tcMar>
              <w:top w:w="80" w:type="dxa"/>
              <w:bottom w:w="80" w:type="dxa"/>
              <w:left w:w="120" w:type="dxa"/>
              <w:right w:w="120" w:type="dxa"/>
            </w:tcMar>
          </w:tcPr>
          <w:p>
            <w:r>
              <w:rPr>
                <w:rFonts w:ascii="Calibri" w:hAnsi="Calibri"/>
                <w:sz w:val="20"/>
              </w:rPr>
              <w:t>SWTID-2026-9791</w:t>
            </w:r>
          </w:p>
        </w:tc>
      </w:tr>
      <w:tr>
        <w:tc>
          <w:tcPr>
            <w:tcW w:type="dxa" w:w="3168"/>
            <w:shd w:fill="F2F4F7"/>
            <w:tcMar>
              <w:top w:w="80" w:type="dxa"/>
              <w:bottom w:w="80" w:type="dxa"/>
              <w:left w:w="120" w:type="dxa"/>
              <w:right w:w="120" w:type="dxa"/>
            </w:tcMar>
          </w:tcPr>
          <w:p>
            <w:r>
              <w:rPr>
                <w:rFonts w:ascii="Calibri" w:hAnsi="Calibri"/>
                <w:b/>
                <w:sz w:val="20"/>
              </w:rPr>
              <w:t>Project Name</w:t>
            </w:r>
          </w:p>
        </w:tc>
        <w:tc>
          <w:tcPr>
            <w:tcW w:type="dxa" w:w="6480"/>
            <w:tcMar>
              <w:top w:w="80" w:type="dxa"/>
              <w:bottom w:w="80" w:type="dxa"/>
              <w:left w:w="120" w:type="dxa"/>
              <w:right w:w="120" w:type="dxa"/>
            </w:tcMar>
          </w:tcPr>
          <w:p>
            <w:r>
              <w:rPr>
                <w:rFonts w:ascii="Calibri" w:hAnsi="Calibri"/>
                <w:sz w:val="20"/>
              </w:rPr>
              <w:t>Streamlining IT Procurement: Automating Standard Laptop Orders with Flow Designer</w:t>
            </w:r>
          </w:p>
        </w:tc>
      </w:tr>
      <w:tr>
        <w:tc>
          <w:tcPr>
            <w:tcW w:type="dxa" w:w="3168"/>
            <w:shd w:fill="F2F4F7"/>
            <w:tcMar>
              <w:top w:w="80" w:type="dxa"/>
              <w:bottom w:w="80" w:type="dxa"/>
              <w:left w:w="120" w:type="dxa"/>
              <w:right w:w="120" w:type="dxa"/>
            </w:tcMar>
          </w:tcPr>
          <w:p>
            <w:r>
              <w:rPr>
                <w:rFonts w:ascii="Calibri" w:hAnsi="Calibri"/>
                <w:b/>
                <w:sz w:val="20"/>
              </w:rPr>
              <w:t>Maximum Marks</w:t>
            </w:r>
          </w:p>
        </w:tc>
        <w:tc>
          <w:tcPr>
            <w:tcW w:type="dxa" w:w="6480"/>
            <w:tcMar>
              <w:top w:w="80" w:type="dxa"/>
              <w:bottom w:w="80" w:type="dxa"/>
              <w:left w:w="120" w:type="dxa"/>
              <w:right w:w="120" w:type="dxa"/>
            </w:tcMar>
          </w:tcPr>
          <w:p>
            <w:r>
              <w:rPr>
                <w:rFonts w:ascii="Calibri" w:hAnsi="Calibri"/>
                <w:sz w:val="20"/>
              </w:rPr>
              <w:t>1 Mark</w:t>
            </w:r>
          </w:p>
        </w:tc>
      </w:tr>
      <w:tr>
        <w:tc>
          <w:tcPr>
            <w:tcW w:type="dxa" w:w="3168"/>
            <w:shd w:fill="F2F4F7"/>
            <w:tcMar>
              <w:top w:w="80" w:type="dxa"/>
              <w:bottom w:w="80" w:type="dxa"/>
              <w:left w:w="120" w:type="dxa"/>
              <w:right w:w="120" w:type="dxa"/>
            </w:tcMar>
          </w:tcPr>
          <w:p>
            <w:r>
              <w:rPr>
                <w:rFonts w:ascii="Calibri" w:hAnsi="Calibri"/>
                <w:b/>
                <w:sz w:val="20"/>
              </w:rPr>
              <w:t>Team Size</w:t>
            </w:r>
          </w:p>
        </w:tc>
        <w:tc>
          <w:tcPr>
            <w:tcW w:type="dxa" w:w="6480"/>
            <w:tcMar>
              <w:top w:w="80" w:type="dxa"/>
              <w:bottom w:w="80" w:type="dxa"/>
              <w:left w:w="120" w:type="dxa"/>
              <w:right w:w="120" w:type="dxa"/>
            </w:tcMar>
          </w:tcPr>
          <w:p>
            <w:r>
              <w:rPr>
                <w:rFonts w:ascii="Calibri" w:hAnsi="Calibri"/>
                <w:sz w:val="20"/>
              </w:rPr>
              <w:t>3</w:t>
            </w:r>
          </w:p>
        </w:tc>
      </w:tr>
      <w:tr>
        <w:tc>
          <w:tcPr>
            <w:tcW w:type="dxa" w:w="3168"/>
            <w:shd w:fill="F2F4F7"/>
            <w:tcMar>
              <w:top w:w="80" w:type="dxa"/>
              <w:bottom w:w="80" w:type="dxa"/>
              <w:left w:w="120" w:type="dxa"/>
              <w:right w:w="120" w:type="dxa"/>
            </w:tcMar>
          </w:tcPr>
          <w:p>
            <w:r>
              <w:rPr>
                <w:rFonts w:ascii="Calibri" w:hAnsi="Calibri"/>
                <w:b/>
                <w:sz w:val="20"/>
              </w:rPr>
              <w:t>Team Leader</w:t>
            </w:r>
          </w:p>
        </w:tc>
        <w:tc>
          <w:tcPr>
            <w:tcW w:type="dxa" w:w="6480"/>
            <w:tcMar>
              <w:top w:w="80" w:type="dxa"/>
              <w:bottom w:w="80" w:type="dxa"/>
              <w:left w:w="120" w:type="dxa"/>
              <w:right w:w="120" w:type="dxa"/>
            </w:tcMar>
          </w:tcPr>
          <w:p>
            <w:r>
              <w:rPr>
                <w:rFonts w:ascii="Calibri" w:hAnsi="Calibri"/>
                <w:sz w:val="20"/>
              </w:rPr>
              <w:t>MONIKA S</w:t>
            </w:r>
          </w:p>
        </w:tc>
      </w:tr>
      <w:tr>
        <w:tc>
          <w:tcPr>
            <w:tcW w:type="dxa" w:w="3168"/>
            <w:shd w:fill="F2F4F7"/>
            <w:tcMar>
              <w:top w:w="80" w:type="dxa"/>
              <w:bottom w:w="80" w:type="dxa"/>
              <w:left w:w="120" w:type="dxa"/>
              <w:right w:w="120" w:type="dxa"/>
            </w:tcMar>
          </w:tcPr>
          <w:p>
            <w:r>
              <w:rPr>
                <w:rFonts w:ascii="Calibri" w:hAnsi="Calibri"/>
                <w:b/>
                <w:sz w:val="20"/>
              </w:rPr>
              <w:t>Team Member</w:t>
            </w:r>
          </w:p>
        </w:tc>
        <w:tc>
          <w:tcPr>
            <w:tcW w:type="dxa" w:w="6480"/>
            <w:tcMar>
              <w:top w:w="80" w:type="dxa"/>
              <w:bottom w:w="80" w:type="dxa"/>
              <w:left w:w="120" w:type="dxa"/>
              <w:right w:w="120" w:type="dxa"/>
            </w:tcMar>
          </w:tcPr>
          <w:p>
            <w:r>
              <w:rPr>
                <w:rFonts w:ascii="Calibri" w:hAnsi="Calibri"/>
                <w:sz w:val="20"/>
              </w:rPr>
              <w:t>PREETHA S</w:t>
            </w:r>
          </w:p>
        </w:tc>
      </w:tr>
      <w:tr>
        <w:tc>
          <w:tcPr>
            <w:tcW w:type="dxa" w:w="3168"/>
            <w:shd w:fill="F2F4F7"/>
            <w:tcMar>
              <w:top w:w="80" w:type="dxa"/>
              <w:bottom w:w="80" w:type="dxa"/>
              <w:left w:w="120" w:type="dxa"/>
              <w:right w:w="120" w:type="dxa"/>
            </w:tcMar>
          </w:tcPr>
          <w:p>
            <w:r>
              <w:rPr>
                <w:rFonts w:ascii="Calibri" w:hAnsi="Calibri"/>
                <w:b/>
                <w:sz w:val="20"/>
              </w:rPr>
              <w:t>Team Member</w:t>
            </w:r>
          </w:p>
        </w:tc>
        <w:tc>
          <w:tcPr>
            <w:tcW w:type="dxa" w:w="6480"/>
            <w:tcMar>
              <w:top w:w="80" w:type="dxa"/>
              <w:bottom w:w="80" w:type="dxa"/>
              <w:left w:w="120" w:type="dxa"/>
              <w:right w:w="120" w:type="dxa"/>
            </w:tcMar>
          </w:tcPr>
          <w:p>
            <w:r>
              <w:rPr>
                <w:rFonts w:ascii="Calibri" w:hAnsi="Calibri"/>
                <w:sz w:val="20"/>
              </w:rPr>
              <w:t>RANJANI DEVI M</w:t>
            </w:r>
          </w:p>
        </w:tc>
      </w:tr>
    </w:tbl>
    <w:p>
      <w:pPr>
        <w:spacing w:after="240"/>
      </w:pPr>
    </w:p>
    <w:p>
      <w:pPr>
        <w:spacing w:after="120"/>
      </w:pPr>
      <w:r>
        <w:rPr>
          <w:rFonts w:ascii="Calibri" w:hAnsi="Calibri"/>
          <w:b/>
          <w:color w:val="1B365D"/>
          <w:sz w:val="24"/>
        </w:rPr>
        <w:t>Scalability &amp; Future Plan:</w:t>
      </w:r>
    </w:p>
    <w:p>
      <w:pPr>
        <w:spacing w:after="200"/>
      </w:pPr>
      <w:r>
        <w:t>This document outlines how the current Script-Controlled ACL solution can be scaled to support more records, users, branches, and access rules. It also describes the future roadmap for improving access control, maintainability, monitoring, and security as the project evolves.</w:t>
      </w:r>
    </w:p>
    <w:p>
      <w:pPr>
        <w:spacing w:after="120"/>
      </w:pPr>
      <w:r>
        <w:rPr>
          <w:rFonts w:ascii="Calibri" w:hAnsi="Calibri"/>
          <w:b/>
          <w:color w:val="1B365D"/>
          <w:sz w:val="24"/>
        </w:rPr>
        <w:t>Current System Limitations: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484"/>
        <w:gridCol w:w="2484"/>
        <w:gridCol w:w="2484"/>
        <w:gridCol w:w="2484"/>
      </w:tblGrid>
      <w:tr>
        <w:tc>
          <w:tcPr>
            <w:tcW w:type="dxa" w:w="720"/>
            <w:shd w:fill="1B365D"/>
            <w:tcMar>
              <w:top w:w="80" w:type="dxa"/>
              <w:bottom w:w="80" w:type="dxa"/>
              <w:left w:w="80" w:type="dxa"/>
              <w:right w:w="80" w:type="dxa"/>
            </w:tcMar>
          </w:tcPr>
          <w:p>
            <w:r>
              <w:rPr>
                <w:rFonts w:ascii="Calibri" w:hAnsi="Calibri"/>
                <w:b/>
                <w:color w:val="FFFFFF"/>
                <w:sz w:val="19"/>
              </w:rPr>
              <w:t>S.No</w:t>
            </w:r>
          </w:p>
        </w:tc>
        <w:tc>
          <w:tcPr>
            <w:tcW w:type="dxa" w:w="3168"/>
            <w:shd w:fill="1B365D"/>
            <w:tcMar>
              <w:top w:w="80" w:type="dxa"/>
              <w:bottom w:w="80" w:type="dxa"/>
              <w:left w:w="80" w:type="dxa"/>
              <w:right w:w="80" w:type="dxa"/>
            </w:tcMar>
          </w:tcPr>
          <w:p>
            <w:r>
              <w:rPr>
                <w:rFonts w:ascii="Calibri" w:hAnsi="Calibri"/>
                <w:b/>
                <w:color w:val="FFFFFF"/>
                <w:sz w:val="19"/>
              </w:rPr>
              <w:t>Limitation</w:t>
            </w:r>
          </w:p>
        </w:tc>
        <w:tc>
          <w:tcPr>
            <w:tcW w:type="dxa" w:w="4032"/>
            <w:shd w:fill="1B365D"/>
            <w:tcMar>
              <w:top w:w="80" w:type="dxa"/>
              <w:bottom w:w="80" w:type="dxa"/>
              <w:left w:w="80" w:type="dxa"/>
              <w:right w:w="80" w:type="dxa"/>
            </w:tcMar>
          </w:tcPr>
          <w:p>
            <w:r>
              <w:rPr>
                <w:rFonts w:ascii="Calibri" w:hAnsi="Calibri"/>
                <w:b/>
                <w:color w:val="FFFFFF"/>
                <w:sz w:val="19"/>
              </w:rPr>
              <w:t>Impact</w:t>
            </w:r>
          </w:p>
        </w:tc>
        <w:tc>
          <w:tcPr>
            <w:tcW w:type="dxa" w:w="1728"/>
            <w:shd w:fill="1B365D"/>
            <w:tcMar>
              <w:top w:w="80" w:type="dxa"/>
              <w:bottom w:w="80" w:type="dxa"/>
              <w:left w:w="80" w:type="dxa"/>
              <w:right w:w="80" w:type="dxa"/>
            </w:tcMar>
          </w:tcPr>
          <w:p>
            <w:r>
              <w:rPr>
                <w:rFonts w:ascii="Calibri" w:hAnsi="Calibri"/>
                <w:b/>
                <w:color w:val="FFFFFF"/>
                <w:sz w:val="19"/>
              </w:rPr>
              <w:t>Priority to Address</w:t>
              <w:br/>
              <w:t>(High / Medium / Low)</w:t>
            </w:r>
          </w:p>
        </w:tc>
      </w:tr>
      <w:tr>
        <w:tc>
          <w:tcPr>
            <w:tcW w:type="dxa" w:w="720"/>
            <w:tcMar>
              <w:top w:w="60" w:type="dxa"/>
              <w:bottom w:w="60" w:type="dxa"/>
              <w:left w:w="80" w:type="dxa"/>
              <w:right w:w="80" w:type="dxa"/>
            </w:tcMar>
          </w:tcPr>
          <w:p>
            <w:r>
              <w:rPr>
                <w:rFonts w:ascii="Calibri" w:hAnsi="Calibri"/>
                <w:b/>
                <w:sz w:val="18"/>
              </w:rPr>
              <w:t>1</w:t>
            </w:r>
          </w:p>
        </w:tc>
        <w:tc>
          <w:tcPr>
            <w:tcW w:type="dxa" w:w="3168"/>
            <w:tcMar>
              <w:top w:w="60" w:type="dxa"/>
              <w:bottom w:w="60" w:type="dxa"/>
              <w:left w:w="80" w:type="dxa"/>
              <w:right w:w="80" w:type="dxa"/>
            </w:tcMar>
          </w:tcPr>
          <w:p>
            <w:r>
              <w:rPr>
                <w:rFonts w:ascii="Calibri" w:hAnsi="Calibri"/>
                <w:sz w:val="18"/>
              </w:rPr>
              <w:t>Access logic is currently configured for a specific field value and role.</w:t>
            </w:r>
          </w:p>
        </w:tc>
        <w:tc>
          <w:tcPr>
            <w:tcW w:type="dxa" w:w="4032"/>
            <w:tcMar>
              <w:top w:w="60" w:type="dxa"/>
              <w:bottom w:w="60" w:type="dxa"/>
              <w:left w:w="80" w:type="dxa"/>
              <w:right w:w="80" w:type="dxa"/>
            </w:tcMar>
          </w:tcPr>
          <w:p>
            <w:r>
              <w:rPr>
                <w:rFonts w:ascii="Calibri" w:hAnsi="Calibri"/>
                <w:sz w:val="18"/>
              </w:rPr>
              <w:t>Additional branches or roles may require ACL condition/script updates.</w:t>
            </w:r>
          </w:p>
        </w:tc>
        <w:tc>
          <w:tcPr>
            <w:tcW w:type="dxa" w:w="1728"/>
            <w:tcMar>
              <w:top w:w="60" w:type="dxa"/>
              <w:bottom w:w="60" w:type="dxa"/>
              <w:left w:w="80" w:type="dxa"/>
              <w:right w:w="80" w:type="dxa"/>
            </w:tcMar>
          </w:tcPr>
          <w:p>
            <w:r>
              <w:rPr>
                <w:rFonts w:ascii="Calibri" w:hAnsi="Calibri"/>
                <w:sz w:val="18"/>
              </w:rPr>
              <w:t>Medium</w:t>
            </w:r>
          </w:p>
        </w:tc>
      </w:tr>
      <w:tr>
        <w:tc>
          <w:tcPr>
            <w:tcW w:type="dxa" w:w="720"/>
            <w:tcMar>
              <w:top w:w="60" w:type="dxa"/>
              <w:bottom w:w="60" w:type="dxa"/>
              <w:left w:w="80" w:type="dxa"/>
              <w:right w:w="80" w:type="dxa"/>
            </w:tcMar>
            <w:shd w:fill="F9FAFB"/>
          </w:tcPr>
          <w:p>
            <w:r>
              <w:rPr>
                <w:rFonts w:ascii="Calibri" w:hAnsi="Calibri"/>
                <w:b/>
                <w:sz w:val="18"/>
              </w:rPr>
              <w:t>2</w:t>
            </w:r>
          </w:p>
        </w:tc>
        <w:tc>
          <w:tcPr>
            <w:tcW w:type="dxa" w:w="3168"/>
            <w:tcMar>
              <w:top w:w="60" w:type="dxa"/>
              <w:bottom w:w="60" w:type="dxa"/>
              <w:left w:w="80" w:type="dxa"/>
              <w:right w:w="80" w:type="dxa"/>
            </w:tcMar>
            <w:shd w:fill="F9FAFB"/>
          </w:tcPr>
          <w:p>
            <w:r>
              <w:rPr>
                <w:rFonts w:ascii="Calibri" w:hAnsi="Calibri"/>
                <w:sz w:val="18"/>
              </w:rPr>
              <w:t>The current solution is demonstrated on the Institution Details table.</w:t>
            </w:r>
          </w:p>
        </w:tc>
        <w:tc>
          <w:tcPr>
            <w:tcW w:type="dxa" w:w="4032"/>
            <w:tcMar>
              <w:top w:w="60" w:type="dxa"/>
              <w:bottom w:w="60" w:type="dxa"/>
              <w:left w:w="80" w:type="dxa"/>
              <w:right w:w="80" w:type="dxa"/>
            </w:tcMar>
            <w:shd w:fill="F9FAFB"/>
          </w:tcPr>
          <w:p>
            <w:r>
              <w:rPr>
                <w:rFonts w:ascii="Calibri" w:hAnsi="Calibri"/>
                <w:sz w:val="18"/>
              </w:rPr>
              <w:t>Applying the same approach to many tables may require additional ACL configurations.</w:t>
            </w:r>
          </w:p>
        </w:tc>
        <w:tc>
          <w:tcPr>
            <w:tcW w:type="dxa" w:w="1728"/>
            <w:tcMar>
              <w:top w:w="60" w:type="dxa"/>
              <w:bottom w:w="60" w:type="dxa"/>
              <w:left w:w="80" w:type="dxa"/>
              <w:right w:w="80" w:type="dxa"/>
            </w:tcMar>
            <w:shd w:fill="F9FAFB"/>
          </w:tcPr>
          <w:p>
            <w:r>
              <w:rPr>
                <w:rFonts w:ascii="Calibri" w:hAnsi="Calibri"/>
                <w:sz w:val="18"/>
              </w:rPr>
              <w:t>Medium</w:t>
            </w:r>
          </w:p>
        </w:tc>
      </w:tr>
      <w:tr>
        <w:tc>
          <w:tcPr>
            <w:tcW w:type="dxa" w:w="720"/>
            <w:tcMar>
              <w:top w:w="60" w:type="dxa"/>
              <w:bottom w:w="60" w:type="dxa"/>
              <w:left w:w="80" w:type="dxa"/>
              <w:right w:w="80" w:type="dxa"/>
            </w:tcMar>
          </w:tcPr>
          <w:p>
            <w:r>
              <w:rPr>
                <w:rFonts w:ascii="Calibri" w:hAnsi="Calibri"/>
                <w:b/>
                <w:sz w:val="18"/>
              </w:rPr>
              <w:t>3</w:t>
            </w:r>
          </w:p>
        </w:tc>
        <w:tc>
          <w:tcPr>
            <w:tcW w:type="dxa" w:w="3168"/>
            <w:tcMar>
              <w:top w:w="60" w:type="dxa"/>
              <w:bottom w:w="60" w:type="dxa"/>
              <w:left w:w="80" w:type="dxa"/>
              <w:right w:w="80" w:type="dxa"/>
            </w:tcMar>
          </w:tcPr>
          <w:p>
            <w:r>
              <w:rPr>
                <w:rFonts w:ascii="Calibri" w:hAnsi="Calibri"/>
                <w:sz w:val="18"/>
              </w:rPr>
              <w:t>Access decisions depend on correctly configured roles, conditions, and scripts.</w:t>
            </w:r>
          </w:p>
        </w:tc>
        <w:tc>
          <w:tcPr>
            <w:tcW w:type="dxa" w:w="4032"/>
            <w:tcMar>
              <w:top w:w="60" w:type="dxa"/>
              <w:bottom w:w="60" w:type="dxa"/>
              <w:left w:w="80" w:type="dxa"/>
              <w:right w:w="80" w:type="dxa"/>
            </w:tcMar>
          </w:tcPr>
          <w:p>
            <w:r>
              <w:rPr>
                <w:rFonts w:ascii="Calibri" w:hAnsi="Calibri"/>
                <w:sz w:val="18"/>
              </w:rPr>
              <w:t>Incorrect configuration may result in unintended record access or restriction.</w:t>
            </w:r>
          </w:p>
        </w:tc>
        <w:tc>
          <w:tcPr>
            <w:tcW w:type="dxa" w:w="1728"/>
            <w:tcMar>
              <w:top w:w="60" w:type="dxa"/>
              <w:bottom w:w="60" w:type="dxa"/>
              <w:left w:w="80" w:type="dxa"/>
              <w:right w:w="80" w:type="dxa"/>
            </w:tcMar>
          </w:tcPr>
          <w:p>
            <w:r>
              <w:rPr>
                <w:rFonts w:ascii="Calibri" w:hAnsi="Calibri"/>
                <w:sz w:val="18"/>
              </w:rPr>
              <w:t>High</w:t>
            </w:r>
          </w:p>
        </w:tc>
      </w:tr>
    </w:tbl>
    <w:p>
      <w:pPr>
        <w:spacing w:after="280"/>
      </w:pPr>
    </w:p>
    <w:p>
      <w:pPr>
        <w:spacing w:after="120"/>
      </w:pPr>
      <w:r>
        <w:rPr>
          <w:rFonts w:ascii="Calibri" w:hAnsi="Calibri"/>
          <w:b/>
          <w:color w:val="1B365D"/>
          <w:sz w:val="24"/>
        </w:rPr>
        <w:t>Scalability Plan: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484"/>
        <w:gridCol w:w="2484"/>
        <w:gridCol w:w="2484"/>
        <w:gridCol w:w="2484"/>
      </w:tblGrid>
      <w:tr>
        <w:tc>
          <w:tcPr>
            <w:tcW w:type="dxa" w:w="720"/>
            <w:shd w:fill="1B365D"/>
            <w:tcMar>
              <w:top w:w="80" w:type="dxa"/>
              <w:bottom w:w="80" w:type="dxa"/>
              <w:left w:w="80" w:type="dxa"/>
              <w:right w:w="80" w:type="dxa"/>
            </w:tcMar>
          </w:tcPr>
          <w:p>
            <w:r>
              <w:rPr>
                <w:rFonts w:ascii="Calibri" w:hAnsi="Calibri"/>
                <w:b/>
                <w:color w:val="FFFFFF"/>
                <w:sz w:val="19"/>
              </w:rPr>
              <w:t>S.No</w:t>
            </w:r>
          </w:p>
        </w:tc>
        <w:tc>
          <w:tcPr>
            <w:tcW w:type="dxa" w:w="2160"/>
            <w:shd w:fill="1B365D"/>
            <w:tcMar>
              <w:top w:w="80" w:type="dxa"/>
              <w:bottom w:w="80" w:type="dxa"/>
              <w:left w:w="80" w:type="dxa"/>
              <w:right w:w="80" w:type="dxa"/>
            </w:tcMar>
          </w:tcPr>
          <w:p>
            <w:r>
              <w:rPr>
                <w:rFonts w:ascii="Calibri" w:hAnsi="Calibri"/>
                <w:b/>
                <w:color w:val="FFFFFF"/>
                <w:sz w:val="19"/>
              </w:rPr>
              <w:t>Scalability Aspect</w:t>
            </w:r>
          </w:p>
        </w:tc>
        <w:tc>
          <w:tcPr>
            <w:tcW w:type="dxa" w:w="3168"/>
            <w:shd w:fill="1B365D"/>
            <w:tcMar>
              <w:top w:w="80" w:type="dxa"/>
              <w:bottom w:w="80" w:type="dxa"/>
              <w:left w:w="80" w:type="dxa"/>
              <w:right w:w="80" w:type="dxa"/>
            </w:tcMar>
          </w:tcPr>
          <w:p>
            <w:r>
              <w:rPr>
                <w:rFonts w:ascii="Calibri" w:hAnsi="Calibri"/>
                <w:b/>
                <w:color w:val="FFFFFF"/>
                <w:sz w:val="19"/>
              </w:rPr>
              <w:t>Current State</w:t>
            </w:r>
          </w:p>
        </w:tc>
        <w:tc>
          <w:tcPr>
            <w:tcW w:type="dxa" w:w="3600"/>
            <w:shd w:fill="1B365D"/>
            <w:tcMar>
              <w:top w:w="80" w:type="dxa"/>
              <w:bottom w:w="80" w:type="dxa"/>
              <w:left w:w="80" w:type="dxa"/>
              <w:right w:w="80" w:type="dxa"/>
            </w:tcMar>
          </w:tcPr>
          <w:p>
            <w:r>
              <w:rPr>
                <w:rFonts w:ascii="Calibri" w:hAnsi="Calibri"/>
                <w:b/>
                <w:color w:val="FFFFFF"/>
                <w:sz w:val="19"/>
              </w:rPr>
              <w:t>Proposed Upgrade / Solution</w:t>
            </w:r>
          </w:p>
        </w:tc>
      </w:tr>
      <w:tr>
        <w:tc>
          <w:tcPr>
            <w:tcW w:type="dxa" w:w="720"/>
            <w:tcMar>
              <w:top w:w="60" w:type="dxa"/>
              <w:bottom w:w="60" w:type="dxa"/>
              <w:left w:w="80" w:type="dxa"/>
              <w:right w:w="80" w:type="dxa"/>
            </w:tcMar>
          </w:tcPr>
          <w:p>
            <w:r>
              <w:rPr>
                <w:rFonts w:ascii="Calibri" w:hAnsi="Calibri"/>
                <w:b/>
                <w:sz w:val="18"/>
              </w:rPr>
              <w:t>1</w:t>
            </w:r>
          </w:p>
        </w:tc>
        <w:tc>
          <w:tcPr>
            <w:tcW w:type="dxa" w:w="2160"/>
            <w:tcMar>
              <w:top w:w="60" w:type="dxa"/>
              <w:bottom w:w="60" w:type="dxa"/>
              <w:left w:w="80" w:type="dxa"/>
              <w:right w:w="80" w:type="dxa"/>
            </w:tcMar>
          </w:tcPr>
          <w:p>
            <w:r>
              <w:rPr>
                <w:rFonts w:ascii="Calibri" w:hAnsi="Calibri"/>
                <w:sz w:val="18"/>
              </w:rPr>
              <w:t>User Load</w:t>
            </w:r>
          </w:p>
        </w:tc>
        <w:tc>
          <w:tcPr>
            <w:tcW w:type="dxa" w:w="3168"/>
            <w:tcMar>
              <w:top w:w="60" w:type="dxa"/>
              <w:bottom w:w="60" w:type="dxa"/>
              <w:left w:w="80" w:type="dxa"/>
              <w:right w:w="80" w:type="dxa"/>
            </w:tcMar>
          </w:tcPr>
          <w:p>
            <w:r>
              <w:rPr>
                <w:rFonts w:ascii="Calibri" w:hAnsi="Calibri"/>
                <w:sz w:val="18"/>
              </w:rPr>
              <w:t>Access is controlled using ACL conditions and roles.</w:t>
            </w:r>
          </w:p>
        </w:tc>
        <w:tc>
          <w:tcPr>
            <w:tcW w:type="dxa" w:w="3600"/>
            <w:tcMar>
              <w:top w:w="60" w:type="dxa"/>
              <w:bottom w:w="60" w:type="dxa"/>
              <w:left w:w="80" w:type="dxa"/>
              <w:right w:w="80" w:type="dxa"/>
            </w:tcMar>
          </w:tcPr>
          <w:p>
            <w:r>
              <w:rPr>
                <w:rFonts w:ascii="Calibri" w:hAnsi="Calibri"/>
                <w:sz w:val="18"/>
              </w:rPr>
              <w:t>Support more users and roles by defining reusable role-based ACL rules.</w:t>
            </w:r>
          </w:p>
        </w:tc>
      </w:tr>
      <w:tr>
        <w:tc>
          <w:tcPr>
            <w:tcW w:type="dxa" w:w="720"/>
            <w:tcMar>
              <w:top w:w="60" w:type="dxa"/>
              <w:bottom w:w="60" w:type="dxa"/>
              <w:left w:w="80" w:type="dxa"/>
              <w:right w:w="80" w:type="dxa"/>
            </w:tcMar>
            <w:shd w:fill="F9FAFB"/>
          </w:tcPr>
          <w:p>
            <w:r>
              <w:rPr>
                <w:rFonts w:ascii="Calibri" w:hAnsi="Calibri"/>
                <w:b/>
                <w:sz w:val="18"/>
              </w:rPr>
              <w:t>2</w:t>
            </w:r>
          </w:p>
        </w:tc>
        <w:tc>
          <w:tcPr>
            <w:tcW w:type="dxa" w:w="2160"/>
            <w:tcMar>
              <w:top w:w="60" w:type="dxa"/>
              <w:bottom w:w="60" w:type="dxa"/>
              <w:left w:w="80" w:type="dxa"/>
              <w:right w:w="80" w:type="dxa"/>
            </w:tcMar>
            <w:shd w:fill="F9FAFB"/>
          </w:tcPr>
          <w:p>
            <w:r>
              <w:rPr>
                <w:rFonts w:ascii="Calibri" w:hAnsi="Calibri"/>
                <w:sz w:val="18"/>
              </w:rPr>
              <w:t>Data Storage</w:t>
            </w:r>
          </w:p>
        </w:tc>
        <w:tc>
          <w:tcPr>
            <w:tcW w:type="dxa" w:w="3168"/>
            <w:tcMar>
              <w:top w:w="60" w:type="dxa"/>
              <w:bottom w:w="60" w:type="dxa"/>
              <w:left w:w="80" w:type="dxa"/>
              <w:right w:w="80" w:type="dxa"/>
            </w:tcMar>
            <w:shd w:fill="F9FAFB"/>
          </w:tcPr>
          <w:p>
            <w:r>
              <w:rPr>
                <w:rFonts w:ascii="Calibri" w:hAnsi="Calibri"/>
                <w:sz w:val="18"/>
              </w:rPr>
              <w:t>Access control is demonstrated using Institution Details records.</w:t>
            </w:r>
          </w:p>
        </w:tc>
        <w:tc>
          <w:tcPr>
            <w:tcW w:type="dxa" w:w="3600"/>
            <w:tcMar>
              <w:top w:w="60" w:type="dxa"/>
              <w:bottom w:w="60" w:type="dxa"/>
              <w:left w:w="80" w:type="dxa"/>
              <w:right w:w="80" w:type="dxa"/>
            </w:tcMar>
            <w:shd w:fill="F9FAFB"/>
          </w:tcPr>
          <w:p>
            <w:r>
              <w:rPr>
                <w:rFonts w:ascii="Calibri" w:hAnsi="Calibri"/>
                <w:sz w:val="18"/>
              </w:rPr>
              <w:t>Extend the ACL approach to larger record sets and additional related tables.</w:t>
            </w:r>
          </w:p>
        </w:tc>
      </w:tr>
      <w:tr>
        <w:tc>
          <w:tcPr>
            <w:tcW w:type="dxa" w:w="720"/>
            <w:tcMar>
              <w:top w:w="60" w:type="dxa"/>
              <w:bottom w:w="60" w:type="dxa"/>
              <w:left w:w="80" w:type="dxa"/>
              <w:right w:w="80" w:type="dxa"/>
            </w:tcMar>
          </w:tcPr>
          <w:p>
            <w:r>
              <w:rPr>
                <w:rFonts w:ascii="Calibri" w:hAnsi="Calibri"/>
                <w:b/>
                <w:sz w:val="18"/>
              </w:rPr>
              <w:t>3</w:t>
            </w:r>
          </w:p>
        </w:tc>
        <w:tc>
          <w:tcPr>
            <w:tcW w:type="dxa" w:w="2160"/>
            <w:tcMar>
              <w:top w:w="60" w:type="dxa"/>
              <w:bottom w:w="60" w:type="dxa"/>
              <w:left w:w="80" w:type="dxa"/>
              <w:right w:w="80" w:type="dxa"/>
            </w:tcMar>
          </w:tcPr>
          <w:p>
            <w:r>
              <w:rPr>
                <w:rFonts w:ascii="Calibri" w:hAnsi="Calibri"/>
                <w:sz w:val="18"/>
              </w:rPr>
              <w:t>Performance</w:t>
            </w:r>
          </w:p>
        </w:tc>
        <w:tc>
          <w:tcPr>
            <w:tcW w:type="dxa" w:w="3168"/>
            <w:tcMar>
              <w:top w:w="60" w:type="dxa"/>
              <w:bottom w:w="60" w:type="dxa"/>
              <w:left w:w="80" w:type="dxa"/>
              <w:right w:w="80" w:type="dxa"/>
            </w:tcMar>
          </w:tcPr>
          <w:p>
            <w:r>
              <w:rPr>
                <w:rFonts w:ascii="Calibri" w:hAnsi="Calibri"/>
                <w:sz w:val="18"/>
              </w:rPr>
              <w:t>ACL evaluates access when records are requested.</w:t>
            </w:r>
          </w:p>
        </w:tc>
        <w:tc>
          <w:tcPr>
            <w:tcW w:type="dxa" w:w="3600"/>
            <w:tcMar>
              <w:top w:w="60" w:type="dxa"/>
              <w:bottom w:w="60" w:type="dxa"/>
              <w:left w:w="80" w:type="dxa"/>
              <w:right w:w="80" w:type="dxa"/>
            </w:tcMar>
          </w:tcPr>
          <w:p>
            <w:r>
              <w:rPr>
                <w:rFonts w:ascii="Calibri" w:hAnsi="Calibri"/>
                <w:sz w:val="18"/>
              </w:rPr>
              <w:t>Optimize ACL conditions and scripts to keep access evaluation efficient as data grows.</w:t>
            </w:r>
          </w:p>
        </w:tc>
      </w:tr>
      <w:tr>
        <w:tc>
          <w:tcPr>
            <w:tcW w:type="dxa" w:w="720"/>
            <w:tcMar>
              <w:top w:w="60" w:type="dxa"/>
              <w:bottom w:w="60" w:type="dxa"/>
              <w:left w:w="80" w:type="dxa"/>
              <w:right w:w="80" w:type="dxa"/>
            </w:tcMar>
            <w:shd w:fill="F9FAFB"/>
          </w:tcPr>
          <w:p>
            <w:r>
              <w:rPr>
                <w:rFonts w:ascii="Calibri" w:hAnsi="Calibri"/>
                <w:b/>
                <w:sz w:val="18"/>
              </w:rPr>
              <w:t>4</w:t>
            </w:r>
          </w:p>
        </w:tc>
        <w:tc>
          <w:tcPr>
            <w:tcW w:type="dxa" w:w="2160"/>
            <w:tcMar>
              <w:top w:w="60" w:type="dxa"/>
              <w:bottom w:w="60" w:type="dxa"/>
              <w:left w:w="80" w:type="dxa"/>
              <w:right w:w="80" w:type="dxa"/>
            </w:tcMar>
            <w:shd w:fill="F9FAFB"/>
          </w:tcPr>
          <w:p>
            <w:r>
              <w:rPr>
                <w:rFonts w:ascii="Calibri" w:hAnsi="Calibri"/>
                <w:sz w:val="18"/>
              </w:rPr>
              <w:t>Security</w:t>
            </w:r>
          </w:p>
        </w:tc>
        <w:tc>
          <w:tcPr>
            <w:tcW w:type="dxa" w:w="3168"/>
            <w:tcMar>
              <w:top w:w="60" w:type="dxa"/>
              <w:bottom w:w="60" w:type="dxa"/>
              <w:left w:w="80" w:type="dxa"/>
              <w:right w:w="80" w:type="dxa"/>
            </w:tcMar>
            <w:shd w:fill="F9FAFB"/>
          </w:tcPr>
          <w:p>
            <w:r>
              <w:rPr>
                <w:rFonts w:ascii="Calibri" w:hAnsi="Calibri"/>
                <w:sz w:val="18"/>
              </w:rPr>
              <w:t>Read access is restricted using a field condition and an advanced ACL script.</w:t>
            </w:r>
          </w:p>
        </w:tc>
        <w:tc>
          <w:tcPr>
            <w:tcW w:type="dxa" w:w="3600"/>
            <w:tcMar>
              <w:top w:w="60" w:type="dxa"/>
              <w:bottom w:w="60" w:type="dxa"/>
              <w:left w:w="80" w:type="dxa"/>
              <w:right w:w="80" w:type="dxa"/>
            </w:tcMar>
            <w:shd w:fill="F9FAFB"/>
          </w:tcPr>
          <w:p>
            <w:r>
              <w:rPr>
                <w:rFonts w:ascii="Calibri" w:hAnsi="Calibri"/>
                <w:sz w:val="18"/>
              </w:rPr>
              <w:t>Add more granular roles, conditions, auditing, and monitoring for stronger access governance.</w:t>
            </w:r>
          </w:p>
        </w:tc>
      </w:tr>
    </w:tbl>
    <w:p>
      <w:pPr>
        <w:spacing w:after="280"/>
      </w:pPr>
    </w:p>
    <w:p>
      <w:pPr>
        <w:spacing w:after="120"/>
      </w:pPr>
      <w:r>
        <w:rPr>
          <w:rFonts w:ascii="Calibri" w:hAnsi="Calibri"/>
          <w:b/>
          <w:color w:val="1B365D"/>
          <w:sz w:val="24"/>
        </w:rPr>
        <w:t>Future Roadmap:</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484"/>
        <w:gridCol w:w="2484"/>
        <w:gridCol w:w="2484"/>
        <w:gridCol w:w="2484"/>
      </w:tblGrid>
      <w:tr>
        <w:tc>
          <w:tcPr>
            <w:tcW w:type="dxa" w:w="1440"/>
            <w:shd w:fill="1B365D"/>
            <w:tcMar>
              <w:top w:w="80" w:type="dxa"/>
              <w:bottom w:w="80" w:type="dxa"/>
              <w:left w:w="80" w:type="dxa"/>
              <w:right w:w="80" w:type="dxa"/>
            </w:tcMar>
          </w:tcPr>
          <w:p>
            <w:r>
              <w:rPr>
                <w:rFonts w:ascii="Calibri" w:hAnsi="Calibri"/>
                <w:b/>
                <w:color w:val="FFFFFF"/>
                <w:sz w:val="19"/>
              </w:rPr>
              <w:t>Phase</w:t>
            </w:r>
          </w:p>
        </w:tc>
        <w:tc>
          <w:tcPr>
            <w:tcW w:type="dxa" w:w="3600"/>
            <w:shd w:fill="1B365D"/>
            <w:tcMar>
              <w:top w:w="80" w:type="dxa"/>
              <w:bottom w:w="80" w:type="dxa"/>
              <w:left w:w="80" w:type="dxa"/>
              <w:right w:w="80" w:type="dxa"/>
            </w:tcMar>
          </w:tcPr>
          <w:p>
            <w:r>
              <w:rPr>
                <w:rFonts w:ascii="Calibri" w:hAnsi="Calibri"/>
                <w:b/>
                <w:color w:val="FFFFFF"/>
                <w:sz w:val="19"/>
              </w:rPr>
              <w:t>Planned Feature / Enhancement</w:t>
            </w:r>
          </w:p>
        </w:tc>
        <w:tc>
          <w:tcPr>
            <w:tcW w:type="dxa" w:w="1728"/>
            <w:shd w:fill="1B365D"/>
            <w:tcMar>
              <w:top w:w="80" w:type="dxa"/>
              <w:bottom w:w="80" w:type="dxa"/>
              <w:left w:w="80" w:type="dxa"/>
              <w:right w:w="80" w:type="dxa"/>
            </w:tcMar>
          </w:tcPr>
          <w:p>
            <w:r>
              <w:rPr>
                <w:rFonts w:ascii="Calibri" w:hAnsi="Calibri"/>
                <w:b/>
                <w:color w:val="FFFFFF"/>
                <w:sz w:val="19"/>
              </w:rPr>
              <w:t>Target Timeline</w:t>
            </w:r>
          </w:p>
        </w:tc>
        <w:tc>
          <w:tcPr>
            <w:tcW w:type="dxa" w:w="2880"/>
            <w:shd w:fill="1B365D"/>
            <w:tcMar>
              <w:top w:w="80" w:type="dxa"/>
              <w:bottom w:w="80" w:type="dxa"/>
              <w:left w:w="80" w:type="dxa"/>
              <w:right w:w="80" w:type="dxa"/>
            </w:tcMar>
          </w:tcPr>
          <w:p>
            <w:r>
              <w:rPr>
                <w:rFonts w:ascii="Calibri" w:hAnsi="Calibri"/>
                <w:b/>
                <w:color w:val="FFFFFF"/>
                <w:sz w:val="19"/>
              </w:rPr>
              <w:t>Expected Impact</w:t>
            </w:r>
          </w:p>
        </w:tc>
      </w:tr>
      <w:tr>
        <w:tc>
          <w:tcPr>
            <w:tcW w:type="dxa" w:w="1440"/>
            <w:tcMar>
              <w:top w:w="60" w:type="dxa"/>
              <w:bottom w:w="60" w:type="dxa"/>
              <w:left w:w="80" w:type="dxa"/>
              <w:right w:w="80" w:type="dxa"/>
            </w:tcMar>
          </w:tcPr>
          <w:p>
            <w:r>
              <w:rPr>
                <w:rFonts w:ascii="Calibri" w:hAnsi="Calibri"/>
                <w:b/>
                <w:sz w:val="18"/>
              </w:rPr>
              <w:t>Phase 1</w:t>
            </w:r>
          </w:p>
        </w:tc>
        <w:tc>
          <w:tcPr>
            <w:tcW w:type="dxa" w:w="3600"/>
            <w:tcMar>
              <w:top w:w="60" w:type="dxa"/>
              <w:bottom w:w="60" w:type="dxa"/>
              <w:left w:w="80" w:type="dxa"/>
              <w:right w:w="80" w:type="dxa"/>
            </w:tcMar>
          </w:tcPr>
          <w:p>
            <w:r>
              <w:rPr>
                <w:rFonts w:ascii="Calibri" w:hAnsi="Calibri"/>
                <w:sz w:val="18"/>
              </w:rPr>
              <w:t>Extend ACL rules to additional branch values and user roles.</w:t>
            </w:r>
          </w:p>
        </w:tc>
        <w:tc>
          <w:tcPr>
            <w:tcW w:type="dxa" w:w="1728"/>
            <w:tcMar>
              <w:top w:w="60" w:type="dxa"/>
              <w:bottom w:w="60" w:type="dxa"/>
              <w:left w:w="80" w:type="dxa"/>
              <w:right w:w="80" w:type="dxa"/>
            </w:tcMar>
          </w:tcPr>
          <w:p>
            <w:r>
              <w:rPr>
                <w:rFonts w:ascii="Calibri" w:hAnsi="Calibri"/>
                <w:sz w:val="18"/>
              </w:rPr>
              <w:t>1–2 Months</w:t>
            </w:r>
          </w:p>
        </w:tc>
        <w:tc>
          <w:tcPr>
            <w:tcW w:type="dxa" w:w="2880"/>
            <w:tcMar>
              <w:top w:w="60" w:type="dxa"/>
              <w:bottom w:w="60" w:type="dxa"/>
              <w:left w:w="80" w:type="dxa"/>
              <w:right w:w="80" w:type="dxa"/>
            </w:tcMar>
          </w:tcPr>
          <w:p>
            <w:r>
              <w:rPr>
                <w:rFonts w:ascii="Calibri" w:hAnsi="Calibri"/>
                <w:sz w:val="18"/>
              </w:rPr>
              <w:t>More flexible and wider access-control coverage.</w:t>
            </w:r>
          </w:p>
        </w:tc>
      </w:tr>
      <w:tr>
        <w:tc>
          <w:tcPr>
            <w:tcW w:type="dxa" w:w="1440"/>
            <w:tcMar>
              <w:top w:w="60" w:type="dxa"/>
              <w:bottom w:w="60" w:type="dxa"/>
              <w:left w:w="80" w:type="dxa"/>
              <w:right w:w="80" w:type="dxa"/>
            </w:tcMar>
            <w:shd w:fill="F9FAFB"/>
          </w:tcPr>
          <w:p>
            <w:r>
              <w:rPr>
                <w:rFonts w:ascii="Calibri" w:hAnsi="Calibri"/>
                <w:b/>
                <w:sz w:val="18"/>
              </w:rPr>
              <w:t>Phase 2</w:t>
            </w:r>
          </w:p>
        </w:tc>
        <w:tc>
          <w:tcPr>
            <w:tcW w:type="dxa" w:w="3600"/>
            <w:tcMar>
              <w:top w:w="60" w:type="dxa"/>
              <w:bottom w:w="60" w:type="dxa"/>
              <w:left w:w="80" w:type="dxa"/>
              <w:right w:w="80" w:type="dxa"/>
            </w:tcMar>
            <w:shd w:fill="F9FAFB"/>
          </w:tcPr>
          <w:p>
            <w:r>
              <w:rPr>
                <w:rFonts w:ascii="Calibri" w:hAnsi="Calibri"/>
                <w:sz w:val="18"/>
              </w:rPr>
              <w:t>Apply the access-control model to additional ServiceNow tables.</w:t>
            </w:r>
          </w:p>
        </w:tc>
        <w:tc>
          <w:tcPr>
            <w:tcW w:type="dxa" w:w="1728"/>
            <w:tcMar>
              <w:top w:w="60" w:type="dxa"/>
              <w:bottom w:w="60" w:type="dxa"/>
              <w:left w:w="80" w:type="dxa"/>
              <w:right w:w="80" w:type="dxa"/>
            </w:tcMar>
            <w:shd w:fill="F9FAFB"/>
          </w:tcPr>
          <w:p>
            <w:r>
              <w:rPr>
                <w:rFonts w:ascii="Calibri" w:hAnsi="Calibri"/>
                <w:sz w:val="18"/>
              </w:rPr>
              <w:t>2–3 Months</w:t>
            </w:r>
          </w:p>
        </w:tc>
        <w:tc>
          <w:tcPr>
            <w:tcW w:type="dxa" w:w="2880"/>
            <w:tcMar>
              <w:top w:w="60" w:type="dxa"/>
              <w:bottom w:w="60" w:type="dxa"/>
              <w:left w:w="80" w:type="dxa"/>
              <w:right w:w="80" w:type="dxa"/>
            </w:tcMar>
            <w:shd w:fill="F9FAFB"/>
          </w:tcPr>
          <w:p>
            <w:r>
              <w:rPr>
                <w:rFonts w:ascii="Calibri" w:hAnsi="Calibri"/>
                <w:sz w:val="18"/>
              </w:rPr>
              <w:t>Reusable access-control approach across the application.</w:t>
            </w:r>
          </w:p>
        </w:tc>
      </w:tr>
      <w:tr>
        <w:tc>
          <w:tcPr>
            <w:tcW w:type="dxa" w:w="1440"/>
            <w:tcMar>
              <w:top w:w="60" w:type="dxa"/>
              <w:bottom w:w="60" w:type="dxa"/>
              <w:left w:w="80" w:type="dxa"/>
              <w:right w:w="80" w:type="dxa"/>
            </w:tcMar>
          </w:tcPr>
          <w:p>
            <w:r>
              <w:rPr>
                <w:rFonts w:ascii="Calibri" w:hAnsi="Calibri"/>
                <w:b/>
                <w:sz w:val="18"/>
              </w:rPr>
              <w:t>Phase 3</w:t>
            </w:r>
          </w:p>
        </w:tc>
        <w:tc>
          <w:tcPr>
            <w:tcW w:type="dxa" w:w="3600"/>
            <w:tcMar>
              <w:top w:w="60" w:type="dxa"/>
              <w:bottom w:w="60" w:type="dxa"/>
              <w:left w:w="80" w:type="dxa"/>
              <w:right w:w="80" w:type="dxa"/>
            </w:tcMar>
          </w:tcPr>
          <w:p>
            <w:r>
              <w:rPr>
                <w:rFonts w:ascii="Calibri" w:hAnsi="Calibri"/>
                <w:sz w:val="18"/>
              </w:rPr>
              <w:t>Add improved auditing, monitoring, and access-review capabilities.</w:t>
            </w:r>
          </w:p>
        </w:tc>
        <w:tc>
          <w:tcPr>
            <w:tcW w:type="dxa" w:w="1728"/>
            <w:tcMar>
              <w:top w:w="60" w:type="dxa"/>
              <w:bottom w:w="60" w:type="dxa"/>
              <w:left w:w="80" w:type="dxa"/>
              <w:right w:w="80" w:type="dxa"/>
            </w:tcMar>
          </w:tcPr>
          <w:p>
            <w:r>
              <w:rPr>
                <w:rFonts w:ascii="Calibri" w:hAnsi="Calibri"/>
                <w:sz w:val="18"/>
              </w:rPr>
              <w:t>3–4 Months</w:t>
            </w:r>
          </w:p>
        </w:tc>
        <w:tc>
          <w:tcPr>
            <w:tcW w:type="dxa" w:w="2880"/>
            <w:tcMar>
              <w:top w:w="60" w:type="dxa"/>
              <w:bottom w:w="60" w:type="dxa"/>
              <w:left w:w="80" w:type="dxa"/>
              <w:right w:w="80" w:type="dxa"/>
            </w:tcMar>
          </w:tcPr>
          <w:p>
            <w:r>
              <w:rPr>
                <w:rFonts w:ascii="Calibri" w:hAnsi="Calibri"/>
                <w:sz w:val="18"/>
              </w:rPr>
              <w:t>Better visibility into access decisions and security compliance.</w:t>
            </w:r>
          </w:p>
        </w:tc>
      </w:tr>
      <w:tr>
        <w:tc>
          <w:tcPr>
            <w:tcW w:type="dxa" w:w="1440"/>
            <w:tcMar>
              <w:top w:w="60" w:type="dxa"/>
              <w:bottom w:w="60" w:type="dxa"/>
              <w:left w:w="80" w:type="dxa"/>
              <w:right w:w="80" w:type="dxa"/>
            </w:tcMar>
            <w:shd w:fill="F9FAFB"/>
          </w:tcPr>
          <w:p>
            <w:r>
              <w:rPr>
                <w:rFonts w:ascii="Calibri" w:hAnsi="Calibri"/>
                <w:b/>
                <w:sz w:val="18"/>
              </w:rPr>
              <w:t>Phase 4</w:t>
            </w:r>
          </w:p>
        </w:tc>
        <w:tc>
          <w:tcPr>
            <w:tcW w:type="dxa" w:w="3600"/>
            <w:tcMar>
              <w:top w:w="60" w:type="dxa"/>
              <w:bottom w:w="60" w:type="dxa"/>
              <w:left w:w="80" w:type="dxa"/>
              <w:right w:w="80" w:type="dxa"/>
            </w:tcMar>
            <w:shd w:fill="F9FAFB"/>
          </w:tcPr>
          <w:p>
            <w:r>
              <w:rPr>
                <w:rFonts w:ascii="Calibri" w:hAnsi="Calibri"/>
                <w:sz w:val="18"/>
              </w:rPr>
              <w:t>Introduce centralized and configurable access rules for future growth.</w:t>
            </w:r>
          </w:p>
        </w:tc>
        <w:tc>
          <w:tcPr>
            <w:tcW w:type="dxa" w:w="1728"/>
            <w:tcMar>
              <w:top w:w="60" w:type="dxa"/>
              <w:bottom w:w="60" w:type="dxa"/>
              <w:left w:w="80" w:type="dxa"/>
              <w:right w:w="80" w:type="dxa"/>
            </w:tcMar>
            <w:shd w:fill="F9FAFB"/>
          </w:tcPr>
          <w:p>
            <w:r>
              <w:rPr>
                <w:rFonts w:ascii="Calibri" w:hAnsi="Calibri"/>
                <w:sz w:val="18"/>
              </w:rPr>
              <w:t>4–6 Months</w:t>
            </w:r>
          </w:p>
        </w:tc>
        <w:tc>
          <w:tcPr>
            <w:tcW w:type="dxa" w:w="2880"/>
            <w:tcMar>
              <w:top w:w="60" w:type="dxa"/>
              <w:bottom w:w="60" w:type="dxa"/>
              <w:left w:w="80" w:type="dxa"/>
              <w:right w:w="80" w:type="dxa"/>
            </w:tcMar>
            <w:shd w:fill="F9FAFB"/>
          </w:tcPr>
          <w:p>
            <w:r>
              <w:rPr>
                <w:rFonts w:ascii="Calibri" w:hAnsi="Calibri"/>
                <w:sz w:val="18"/>
              </w:rPr>
              <w:t>Easier maintenance and scalability for larger deployments.</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