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[点微]同城拼团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[点微]同城提供拼团功能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拼团独立域名配置说明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b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第一步：下载授权文件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下载地址</w:t>
      </w:r>
      <w:r>
        <w:rPr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：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"http://download.tomwx.cn/tom_oauth.zip" \t "http://www.tomwx.cn/_blank" </w:instrTex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</w:rPr>
        <w:t>http://download.tomwx.cn/tom_oauth.zip</w:t>
      </w: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第二步：上传授权到网站根目录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238500"/>
            <wp:effectExtent l="0" t="0" r="0" b="0"/>
            <wp:docPr id="16" name="图片 15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第三步：设置同城和拼团域名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（注意：如果你的同城使用的是https访问的，那么拼团使用的域名也需要是https的）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209800"/>
            <wp:effectExtent l="0" t="0" r="0" b="0"/>
            <wp:docPr id="17" name="图片 16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第四步：设置网页授权域名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TOM用户中心  》》 后台  》》 设置 （设置公众账号里面设置的网页授权域名）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305050"/>
            <wp:effectExtent l="0" t="0" r="0" b="0"/>
            <wp:docPr id="15" name="图片 17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特别技巧：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7FE5"/>
          <w:spacing w:val="0"/>
          <w:sz w:val="27"/>
          <w:szCs w:val="27"/>
          <w:bdr w:val="none" w:color="auto" w:sz="0" w:space="0"/>
        </w:rPr>
        <w:t>1、云服务器如何设置一个论坛绑定2个https 域名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9900"/>
          <w:spacing w:val="0"/>
          <w:sz w:val="27"/>
          <w:szCs w:val="27"/>
          <w:bdr w:val="none" w:color="auto" w:sz="0" w:space="0"/>
        </w:rPr>
        <w:t>你可以在你服务器里面建2个网站，但是站点配置里面网站根目录，都使用同一个服务器目录，这样，这2个网站打开都是同一个论坛，因为调用的是同一个程序和数据库。既然是2个网站了，那么就可以设置2个https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1B8B3503"/>
    <w:rsid w:val="34AF31FF"/>
    <w:rsid w:val="58EB1976"/>
    <w:rsid w:val="5B12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1229/20171229031451_82255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1226/20171226182057_23114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1226/20171226182015_19735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2019-03-26T03:55:36Z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