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43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[点微]同城红包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[点微]同城提供发送红包功能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同城红包独立域名设置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特别说明：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所设置的独立域名必须是完全独立的域名，不能用二级域名，比如：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aa.baidu.com bb.baidu.com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... 这些是二级域名。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砍价所需要设置的独立域名是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 aa.baidu.com bb.taobao.com ....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就是两个完全不一样的域名，不是二级域名。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（因为微信有时候屏蔽域名会直接屏蔽顶级域名，导致所有二级域名无效。所有如果只是二级域名设置等于没有设置，没有达到防屏蔽的效果）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CCCCCC"/>
          <w:spacing w:val="0"/>
          <w:sz w:val="24"/>
          <w:szCs w:val="24"/>
          <w:bdr w:val="none" w:color="auto" w:sz="0" w:space="0"/>
        </w:rPr>
        <w:t>---------------------------------------------------------------------------------------------------------------------------------------------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第一步：下载授权文件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下载地址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：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"http://download.tomwx.cn/tom_oauth.zip" \t "http://www.tomwx.cn/_blank"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t>http://download.tomwx.cn/tom_oauth.zip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第二步：上传授权到网站根目录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238500"/>
            <wp:effectExtent l="0" t="0" r="0" b="0"/>
            <wp:docPr id="41" name="图片 40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第三步：设置同城和红包域名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019425"/>
            <wp:effectExtent l="0" t="0" r="0" b="9525"/>
            <wp:docPr id="42" name="图片 41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（如果你的同城是https访问，但是你的红包要用http访问，请开启下面开关）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10175" cy="733425"/>
            <wp:effectExtent l="0" t="0" r="9525" b="9525"/>
            <wp:docPr id="40" name="图片 42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2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第四步：设置网页授权域名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TOM用户中心  》》 后台  》》 设置 （设置公众账号里面设置的网页授权域名）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858000" cy="2305050"/>
            <wp:effectExtent l="0" t="0" r="0" b="0"/>
            <wp:docPr id="39" name="图片 43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3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1B8B3503"/>
    <w:rsid w:val="1EB566BC"/>
    <w:rsid w:val="220E0C6D"/>
    <w:rsid w:val="34AF31FF"/>
    <w:rsid w:val="49894F93"/>
    <w:rsid w:val="58EB1976"/>
    <w:rsid w:val="5B126A79"/>
    <w:rsid w:val="638B72ED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80205/20180205030633_39510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80205/20180205030611_84235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1226/20171226182015_1973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1229/20171229031451_82255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2019-03-26T04:01:08Z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