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Prior Underwriting History</w:t>
      </w:r>
    </w:p>
    <w:p>
      <w:r>
        <w:t>Applicant: Jane Doe</w:t>
      </w:r>
    </w:p>
    <w:p>
      <w:r>
        <w:t>Previous policy application (2021): Approved, standard rate. No adverse findings at that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POL-2021-4821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Approved (standard)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