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9A" w:rsidRPr="00797CAB" w:rsidRDefault="00507961" w:rsidP="00664628">
      <w:pPr>
        <w:pStyle w:val="Ttulo"/>
        <w:rPr>
          <w:lang w:val="en-US"/>
        </w:rPr>
      </w:pPr>
      <w:r w:rsidRPr="00797CAB">
        <w:rPr>
          <w:lang w:val="en-US"/>
        </w:rPr>
        <w:t xml:space="preserve">Omnichannel </w:t>
      </w:r>
      <w:proofErr w:type="spellStart"/>
      <w:r w:rsidRPr="00797CAB">
        <w:rPr>
          <w:lang w:val="en-US"/>
        </w:rPr>
        <w:t>Behaviour</w:t>
      </w:r>
      <w:proofErr w:type="spellEnd"/>
      <w:r w:rsidRPr="00797CAB">
        <w:rPr>
          <w:lang w:val="en-US"/>
        </w:rPr>
        <w:t>. Definitions and Covariables</w:t>
      </w:r>
    </w:p>
    <w:p w:rsidR="0036739A" w:rsidRPr="00797CAB" w:rsidRDefault="00507961" w:rsidP="00664628">
      <w:pPr>
        <w:rPr>
          <w:lang w:val="en-US"/>
        </w:rPr>
      </w:pPr>
      <w:r w:rsidRPr="00797CAB">
        <w:rPr>
          <w:lang w:val="en-US"/>
        </w:rPr>
        <w:t xml:space="preserve">Technology-driven developments in retail distribution have led to consumers using more than one channel even within the same product category. Cross-channel usage, or multichannel </w:t>
      </w:r>
      <w:proofErr w:type="spellStart"/>
      <w:r w:rsidRPr="00797CAB">
        <w:rPr>
          <w:lang w:val="en-US"/>
        </w:rPr>
        <w:t>behaviour</w:t>
      </w:r>
      <w:proofErr w:type="spellEnd"/>
      <w:r w:rsidRPr="00797CAB">
        <w:rPr>
          <w:lang w:val="en-US"/>
        </w:rPr>
        <w:t>, is found both in the purchase of goods and in the search for product information.</w:t>
      </w:r>
    </w:p>
    <w:p w:rsidR="00797CAB" w:rsidRDefault="00507961" w:rsidP="00CF6BA4">
      <w:pPr>
        <w:pStyle w:val="Ttulo1"/>
      </w:pPr>
      <w:bookmarkStart w:id="0" w:name="introduction"/>
      <w:bookmarkEnd w:id="0"/>
      <w:r w:rsidRPr="00664628">
        <w:t>Introduction</w:t>
      </w:r>
    </w:p>
    <w:p w:rsidR="00797CAB" w:rsidRDefault="00797CAB" w:rsidP="00CF6BA4">
      <w:pPr>
        <w:pStyle w:val="Ttulo2"/>
      </w:pPr>
      <w:r w:rsidRPr="00D51E2C">
        <w:t>Nivel</w:t>
      </w:r>
      <w:r w:rsidRPr="00797CAB">
        <w:t xml:space="preserve"> 2</w:t>
      </w:r>
    </w:p>
    <w:p w:rsidR="006E27A7" w:rsidRPr="006E27A7" w:rsidRDefault="006E27A7" w:rsidP="006E27A7">
      <w:pPr>
        <w:pStyle w:val="Ttulo3"/>
      </w:pPr>
      <w:bookmarkStart w:id="1" w:name="_GoBack"/>
      <w:r w:rsidRPr="006E27A7">
        <w:t>Nivel 3</w:t>
      </w:r>
    </w:p>
    <w:bookmarkEnd w:id="1"/>
    <w:p w:rsidR="0036739A" w:rsidRDefault="00507961" w:rsidP="00664628">
      <w:pPr>
        <w:pStyle w:val="FirstParagraph"/>
        <w:rPr>
          <w:lang w:val="en-US"/>
        </w:rPr>
      </w:pPr>
      <w:r w:rsidRPr="00797CAB">
        <w:rPr>
          <w:lang w:val="en-US"/>
        </w:rPr>
        <w:t xml:space="preserve">Consumers are becoming increasingly demanding and expect to satisfy their needs where and when they like, select the payment solution that best suits them, and interact with sales agents if they so wish. This means that the quality of their shopping experience is determined not only by the characteristics of the goods and services they purchase, but also by the complementary services distribution channels have to offer (Zeithaml, Bitner, and </w:t>
      </w:r>
      <w:proofErr w:type="spellStart"/>
      <w:r w:rsidRPr="00797CAB">
        <w:rPr>
          <w:lang w:val="en-US"/>
        </w:rPr>
        <w:t>Gremler</w:t>
      </w:r>
      <w:proofErr w:type="spellEnd"/>
      <w:r w:rsidRPr="00797CAB">
        <w:rPr>
          <w:lang w:val="en-US"/>
        </w:rPr>
        <w:t xml:space="preserve"> 2006). According to the Accenture (2015) and Accenture (2016) reports, in-store shoppers now expect sales personnel to offer alternatives for ordering products that are not in stock, in-store Wi-fi access being considered essential, while the two most highly valued features of the online shopping experience are the ability to choose the most convenient time and location for delivery and pick-up. The demand for complementary services to enhance the shopping experience is therefore clear in both environments.</w:t>
      </w:r>
    </w:p>
    <w:p w:rsidR="00D51E2C" w:rsidRPr="00D51E2C" w:rsidRDefault="00D51E2C" w:rsidP="00CF6BA4">
      <w:pPr>
        <w:pStyle w:val="Ttulo2"/>
      </w:pPr>
      <w:r>
        <w:t>Nivel 2</w:t>
      </w:r>
    </w:p>
    <w:p w:rsidR="00D51E2C" w:rsidRPr="00CF6BA4" w:rsidRDefault="00507961" w:rsidP="00CF6BA4">
      <w:pPr>
        <w:pStyle w:val="Ttulo1"/>
      </w:pPr>
      <w:bookmarkStart w:id="2" w:name="conceptual-framework"/>
      <w:bookmarkEnd w:id="2"/>
      <w:r w:rsidRPr="00CF6BA4">
        <w:lastRenderedPageBreak/>
        <w:t>Conceptual framework</w:t>
      </w:r>
      <w:bookmarkStart w:id="3" w:name="omnichannel-behaviour-the-dual-role-of-t"/>
      <w:bookmarkEnd w:id="3"/>
    </w:p>
    <w:p w:rsidR="0036739A" w:rsidRPr="00CF6BA4" w:rsidRDefault="00507961" w:rsidP="00CF6BA4">
      <w:pPr>
        <w:pStyle w:val="Ttulo2"/>
      </w:pPr>
      <w:r w:rsidRPr="00CF6BA4">
        <w:t xml:space="preserve">Omnichannel </w:t>
      </w:r>
      <w:proofErr w:type="spellStart"/>
      <w:r w:rsidRPr="00CF6BA4">
        <w:t>behaviour</w:t>
      </w:r>
      <w:proofErr w:type="spellEnd"/>
      <w:r w:rsidRPr="00CF6BA4">
        <w:t>: the dual role of the customer as purchaser and service user</w:t>
      </w:r>
    </w:p>
    <w:p w:rsidR="0036739A" w:rsidRPr="00797CAB" w:rsidRDefault="00507961" w:rsidP="00664628">
      <w:pPr>
        <w:pStyle w:val="FirstParagraph"/>
        <w:rPr>
          <w:lang w:val="en-US"/>
        </w:rPr>
      </w:pPr>
      <w:r w:rsidRPr="00797CAB">
        <w:rPr>
          <w:b/>
          <w:lang w:val="en-US"/>
        </w:rPr>
        <w:t>Definition 1</w:t>
      </w:r>
      <w:r w:rsidRPr="00797CAB">
        <w:rPr>
          <w:lang w:val="en-US"/>
        </w:rPr>
        <w:t>: A customer of a company is anyone who has purchased some of its goods over a given period.</w:t>
      </w:r>
    </w:p>
    <w:p w:rsidR="0036739A" w:rsidRPr="00797CAB" w:rsidRDefault="0036739A" w:rsidP="00664628">
      <w:pPr>
        <w:pStyle w:val="Textoindependiente"/>
        <w:rPr>
          <w:lang w:val="en-US"/>
        </w:rPr>
      </w:pPr>
    </w:p>
    <w:tbl>
      <w:tblPr>
        <w:tblW w:w="791" w:type="pct"/>
        <w:tblLook w:val="07E0" w:firstRow="1" w:lastRow="1" w:firstColumn="1" w:lastColumn="1" w:noHBand="1" w:noVBand="1"/>
      </w:tblPr>
      <w:tblGrid>
        <w:gridCol w:w="740"/>
        <w:gridCol w:w="741"/>
      </w:tblGrid>
      <w:tr w:rsidR="0036739A" w:rsidRPr="00CE2AEC" w:rsidTr="00D51E2C">
        <w:tc>
          <w:tcPr>
            <w:tcW w:w="0" w:type="auto"/>
            <w:tcBorders>
              <w:bottom w:val="single" w:sz="0" w:space="0" w:color="auto"/>
            </w:tcBorders>
            <w:vAlign w:val="bottom"/>
          </w:tcPr>
          <w:p w:rsidR="0036739A" w:rsidRPr="00CE2AEC" w:rsidRDefault="00507961" w:rsidP="00664628">
            <w:pPr>
              <w:pStyle w:val="Compact"/>
            </w:pPr>
            <w:r w:rsidRPr="00CE2AEC">
              <w:t>x</w:t>
            </w:r>
          </w:p>
        </w:tc>
        <w:tc>
          <w:tcPr>
            <w:tcW w:w="0" w:type="auto"/>
            <w:tcBorders>
              <w:bottom w:val="single" w:sz="0" w:space="0" w:color="auto"/>
            </w:tcBorders>
            <w:vAlign w:val="bottom"/>
          </w:tcPr>
          <w:p w:rsidR="0036739A" w:rsidRPr="00CE2AEC" w:rsidRDefault="00507961" w:rsidP="00664628">
            <w:pPr>
              <w:pStyle w:val="Compact"/>
            </w:pPr>
            <w:r w:rsidRPr="00CE2AEC">
              <w:t>y</w:t>
            </w:r>
          </w:p>
        </w:tc>
      </w:tr>
      <w:tr w:rsidR="0036739A" w:rsidRPr="00CE2AEC" w:rsidTr="00D51E2C">
        <w:tc>
          <w:tcPr>
            <w:tcW w:w="0" w:type="auto"/>
          </w:tcPr>
          <w:p w:rsidR="0036739A" w:rsidRPr="00CE2AEC" w:rsidRDefault="00507961" w:rsidP="00664628">
            <w:pPr>
              <w:pStyle w:val="Compact"/>
            </w:pPr>
            <w:r w:rsidRPr="00CE2AEC">
              <w:t>1</w:t>
            </w:r>
          </w:p>
        </w:tc>
        <w:tc>
          <w:tcPr>
            <w:tcW w:w="0" w:type="auto"/>
          </w:tcPr>
          <w:p w:rsidR="0036739A" w:rsidRPr="00CE2AEC" w:rsidRDefault="00507961" w:rsidP="00664628">
            <w:pPr>
              <w:pStyle w:val="Compact"/>
            </w:pPr>
            <w:r w:rsidRPr="00CE2AEC">
              <w:t>1</w:t>
            </w:r>
          </w:p>
        </w:tc>
      </w:tr>
      <w:tr w:rsidR="0036739A" w:rsidRPr="00CE2AEC" w:rsidTr="00D51E2C">
        <w:tc>
          <w:tcPr>
            <w:tcW w:w="0" w:type="auto"/>
          </w:tcPr>
          <w:p w:rsidR="0036739A" w:rsidRPr="00CE2AEC" w:rsidRDefault="00507961" w:rsidP="00664628">
            <w:pPr>
              <w:pStyle w:val="Compact"/>
            </w:pPr>
            <w:r w:rsidRPr="00CE2AEC">
              <w:t>2</w:t>
            </w:r>
          </w:p>
        </w:tc>
        <w:tc>
          <w:tcPr>
            <w:tcW w:w="0" w:type="auto"/>
          </w:tcPr>
          <w:p w:rsidR="0036739A" w:rsidRPr="00CE2AEC" w:rsidRDefault="00507961" w:rsidP="00664628">
            <w:pPr>
              <w:pStyle w:val="Compact"/>
            </w:pPr>
            <w:r w:rsidRPr="00CE2AEC">
              <w:t>3</w:t>
            </w:r>
          </w:p>
        </w:tc>
      </w:tr>
      <w:tr w:rsidR="0036739A" w:rsidRPr="00CE2AEC" w:rsidTr="00D51E2C">
        <w:tc>
          <w:tcPr>
            <w:tcW w:w="0" w:type="auto"/>
          </w:tcPr>
          <w:p w:rsidR="0036739A" w:rsidRPr="00CE2AEC" w:rsidRDefault="00507961" w:rsidP="00664628">
            <w:pPr>
              <w:pStyle w:val="Compact"/>
            </w:pPr>
            <w:r w:rsidRPr="00CE2AEC">
              <w:t>3</w:t>
            </w:r>
          </w:p>
        </w:tc>
        <w:tc>
          <w:tcPr>
            <w:tcW w:w="0" w:type="auto"/>
          </w:tcPr>
          <w:p w:rsidR="0036739A" w:rsidRPr="00CE2AEC" w:rsidRDefault="00507961" w:rsidP="00664628">
            <w:pPr>
              <w:pStyle w:val="Compact"/>
            </w:pPr>
            <w:r w:rsidRPr="00CE2AEC">
              <w:t>5</w:t>
            </w:r>
          </w:p>
        </w:tc>
      </w:tr>
      <w:tr w:rsidR="0036739A" w:rsidRPr="00CE2AEC" w:rsidTr="00D51E2C">
        <w:tc>
          <w:tcPr>
            <w:tcW w:w="0" w:type="auto"/>
          </w:tcPr>
          <w:p w:rsidR="0036739A" w:rsidRPr="00CE2AEC" w:rsidRDefault="00507961" w:rsidP="00664628">
            <w:pPr>
              <w:pStyle w:val="Compact"/>
            </w:pPr>
            <w:r w:rsidRPr="00CE2AEC">
              <w:t>4</w:t>
            </w:r>
          </w:p>
        </w:tc>
        <w:tc>
          <w:tcPr>
            <w:tcW w:w="0" w:type="auto"/>
          </w:tcPr>
          <w:p w:rsidR="0036739A" w:rsidRPr="00CE2AEC" w:rsidRDefault="00507961" w:rsidP="00664628">
            <w:pPr>
              <w:pStyle w:val="Compact"/>
            </w:pPr>
            <w:r w:rsidRPr="00CE2AEC">
              <w:t>7</w:t>
            </w:r>
          </w:p>
        </w:tc>
      </w:tr>
      <w:tr w:rsidR="0036739A" w:rsidRPr="00CE2AEC" w:rsidTr="00D51E2C">
        <w:tc>
          <w:tcPr>
            <w:tcW w:w="0" w:type="auto"/>
          </w:tcPr>
          <w:p w:rsidR="0036739A" w:rsidRPr="00CE2AEC" w:rsidRDefault="00507961" w:rsidP="00664628">
            <w:pPr>
              <w:pStyle w:val="Compact"/>
            </w:pPr>
            <w:r w:rsidRPr="00CE2AEC">
              <w:t>5</w:t>
            </w:r>
          </w:p>
        </w:tc>
        <w:tc>
          <w:tcPr>
            <w:tcW w:w="0" w:type="auto"/>
          </w:tcPr>
          <w:p w:rsidR="0036739A" w:rsidRPr="00CE2AEC" w:rsidRDefault="00507961" w:rsidP="00664628">
            <w:pPr>
              <w:pStyle w:val="Compact"/>
            </w:pPr>
            <w:r w:rsidRPr="00CE2AEC">
              <w:t>9</w:t>
            </w:r>
          </w:p>
        </w:tc>
      </w:tr>
      <w:tr w:rsidR="0036739A" w:rsidRPr="00CE2AEC" w:rsidTr="00D51E2C">
        <w:tc>
          <w:tcPr>
            <w:tcW w:w="0" w:type="auto"/>
          </w:tcPr>
          <w:p w:rsidR="0036739A" w:rsidRPr="00CE2AEC" w:rsidRDefault="00507961" w:rsidP="00664628">
            <w:pPr>
              <w:pStyle w:val="Compact"/>
            </w:pPr>
            <w:r w:rsidRPr="00CE2AEC">
              <w:t>6</w:t>
            </w:r>
          </w:p>
        </w:tc>
        <w:tc>
          <w:tcPr>
            <w:tcW w:w="0" w:type="auto"/>
          </w:tcPr>
          <w:p w:rsidR="0036739A" w:rsidRPr="00CE2AEC" w:rsidRDefault="00507961" w:rsidP="00664628">
            <w:pPr>
              <w:pStyle w:val="Compact"/>
            </w:pPr>
            <w:r w:rsidRPr="00CE2AEC">
              <w:t>11</w:t>
            </w:r>
          </w:p>
        </w:tc>
      </w:tr>
      <w:tr w:rsidR="0036739A" w:rsidRPr="00CE2AEC" w:rsidTr="00D51E2C">
        <w:tc>
          <w:tcPr>
            <w:tcW w:w="0" w:type="auto"/>
          </w:tcPr>
          <w:p w:rsidR="0036739A" w:rsidRPr="00CE2AEC" w:rsidRDefault="00507961" w:rsidP="00664628">
            <w:pPr>
              <w:pStyle w:val="Compact"/>
            </w:pPr>
            <w:r w:rsidRPr="00CE2AEC">
              <w:t>7</w:t>
            </w:r>
          </w:p>
        </w:tc>
        <w:tc>
          <w:tcPr>
            <w:tcW w:w="0" w:type="auto"/>
          </w:tcPr>
          <w:p w:rsidR="0036739A" w:rsidRPr="00CE2AEC" w:rsidRDefault="00507961" w:rsidP="00664628">
            <w:pPr>
              <w:pStyle w:val="Compact"/>
            </w:pPr>
            <w:r w:rsidRPr="00CE2AEC">
              <w:t>13</w:t>
            </w:r>
          </w:p>
        </w:tc>
      </w:tr>
      <w:tr w:rsidR="0036739A" w:rsidRPr="00CE2AEC" w:rsidTr="00D51E2C">
        <w:tc>
          <w:tcPr>
            <w:tcW w:w="0" w:type="auto"/>
          </w:tcPr>
          <w:p w:rsidR="0036739A" w:rsidRPr="00CE2AEC" w:rsidRDefault="00507961" w:rsidP="00664628">
            <w:pPr>
              <w:pStyle w:val="Compact"/>
            </w:pPr>
            <w:r w:rsidRPr="00CE2AEC">
              <w:t>8</w:t>
            </w:r>
          </w:p>
        </w:tc>
        <w:tc>
          <w:tcPr>
            <w:tcW w:w="0" w:type="auto"/>
          </w:tcPr>
          <w:p w:rsidR="0036739A" w:rsidRPr="00CE2AEC" w:rsidRDefault="00507961" w:rsidP="00664628">
            <w:pPr>
              <w:pStyle w:val="Compact"/>
            </w:pPr>
            <w:r w:rsidRPr="00CE2AEC">
              <w:t>15</w:t>
            </w:r>
          </w:p>
        </w:tc>
      </w:tr>
      <w:tr w:rsidR="0036739A" w:rsidRPr="00CE2AEC" w:rsidTr="00D51E2C">
        <w:tc>
          <w:tcPr>
            <w:tcW w:w="0" w:type="auto"/>
          </w:tcPr>
          <w:p w:rsidR="0036739A" w:rsidRPr="00CE2AEC" w:rsidRDefault="00507961" w:rsidP="00664628">
            <w:pPr>
              <w:pStyle w:val="Compact"/>
            </w:pPr>
            <w:r w:rsidRPr="00CE2AEC">
              <w:t>9</w:t>
            </w:r>
          </w:p>
        </w:tc>
        <w:tc>
          <w:tcPr>
            <w:tcW w:w="0" w:type="auto"/>
          </w:tcPr>
          <w:p w:rsidR="0036739A" w:rsidRPr="00CE2AEC" w:rsidRDefault="00507961" w:rsidP="00664628">
            <w:pPr>
              <w:pStyle w:val="Compact"/>
            </w:pPr>
            <w:r w:rsidRPr="00CE2AEC">
              <w:t>17</w:t>
            </w:r>
          </w:p>
        </w:tc>
      </w:tr>
      <w:tr w:rsidR="0036739A" w:rsidRPr="00CE2AEC" w:rsidTr="00D51E2C">
        <w:tc>
          <w:tcPr>
            <w:tcW w:w="0" w:type="auto"/>
          </w:tcPr>
          <w:p w:rsidR="0036739A" w:rsidRPr="00CE2AEC" w:rsidRDefault="00507961" w:rsidP="00664628">
            <w:pPr>
              <w:pStyle w:val="Compact"/>
            </w:pPr>
            <w:r w:rsidRPr="00CE2AEC">
              <w:t>10</w:t>
            </w:r>
          </w:p>
        </w:tc>
        <w:tc>
          <w:tcPr>
            <w:tcW w:w="0" w:type="auto"/>
          </w:tcPr>
          <w:p w:rsidR="0036739A" w:rsidRPr="00CE2AEC" w:rsidRDefault="00507961" w:rsidP="00664628">
            <w:pPr>
              <w:pStyle w:val="Compact"/>
            </w:pPr>
            <w:r w:rsidRPr="00CE2AEC">
              <w:t>19</w:t>
            </w:r>
          </w:p>
        </w:tc>
      </w:tr>
    </w:tbl>
    <w:p w:rsidR="00D51E2C" w:rsidRDefault="00D51E2C" w:rsidP="00CF6BA4">
      <w:pPr>
        <w:pStyle w:val="Ttulo1"/>
        <w:numPr>
          <w:ilvl w:val="0"/>
          <w:numId w:val="18"/>
        </w:numPr>
      </w:pPr>
      <w:bookmarkStart w:id="4" w:name="references"/>
      <w:bookmarkEnd w:id="4"/>
      <w:r w:rsidRPr="00CE2AEC">
        <w:t>Conceptual framework</w:t>
      </w:r>
    </w:p>
    <w:p w:rsidR="00D51E2C" w:rsidRDefault="00D51E2C" w:rsidP="00CF6BA4">
      <w:pPr>
        <w:pStyle w:val="Ttulo1"/>
        <w:numPr>
          <w:ilvl w:val="1"/>
          <w:numId w:val="18"/>
        </w:numPr>
      </w:pPr>
      <w:proofErr w:type="spellStart"/>
      <w:r>
        <w:lastRenderedPageBreak/>
        <w:t>subtítulo</w:t>
      </w:r>
      <w:proofErr w:type="spellEnd"/>
    </w:p>
    <w:p w:rsidR="0036739A" w:rsidRPr="00CE2AEC" w:rsidRDefault="00507961" w:rsidP="00CF6BA4">
      <w:pPr>
        <w:pStyle w:val="Ttulo1"/>
      </w:pPr>
      <w:r w:rsidRPr="00CE2AEC">
        <w:t>References</w:t>
      </w:r>
    </w:p>
    <w:p w:rsidR="0036739A" w:rsidRPr="00797CAB" w:rsidRDefault="00507961" w:rsidP="00664628">
      <w:pPr>
        <w:pStyle w:val="Bibliografa"/>
        <w:rPr>
          <w:lang w:val="en-US"/>
        </w:rPr>
      </w:pPr>
      <w:r w:rsidRPr="00797CAB">
        <w:rPr>
          <w:lang w:val="en-US"/>
        </w:rPr>
        <w:t xml:space="preserve">Accenture. 2015. “Retail customers are shouting — are you </w:t>
      </w:r>
      <w:proofErr w:type="gramStart"/>
      <w:r w:rsidRPr="00797CAB">
        <w:rPr>
          <w:lang w:val="en-US"/>
        </w:rPr>
        <w:t>adapting ?</w:t>
      </w:r>
      <w:proofErr w:type="gramEnd"/>
      <w:r w:rsidRPr="00797CAB">
        <w:rPr>
          <w:lang w:val="en-US"/>
        </w:rPr>
        <w:t xml:space="preserve">” </w:t>
      </w:r>
      <w:hyperlink r:id="rId7">
        <w:r w:rsidRPr="00797CAB">
          <w:rPr>
            <w:rStyle w:val="Hipervnculo"/>
            <w:rFonts w:ascii="Arial" w:hAnsi="Arial" w:cs="Arial"/>
            <w:lang w:val="en-US"/>
          </w:rPr>
          <w:t>http://alturl.com/bpxdt</w:t>
        </w:r>
      </w:hyperlink>
      <w:r w:rsidRPr="00797CAB">
        <w:rPr>
          <w:lang w:val="en-US"/>
        </w:rPr>
        <w:t>.</w:t>
      </w:r>
    </w:p>
    <w:p w:rsidR="0036739A" w:rsidRPr="00CE2AEC" w:rsidRDefault="00507961" w:rsidP="00664628">
      <w:pPr>
        <w:pStyle w:val="Bibliografa"/>
      </w:pPr>
      <w:r w:rsidRPr="00797CAB">
        <w:rPr>
          <w:lang w:val="en-US"/>
        </w:rPr>
        <w:t xml:space="preserve">———. 2016. “Seamless Retail Research Report </w:t>
      </w:r>
      <w:proofErr w:type="gramStart"/>
      <w:r w:rsidRPr="00797CAB">
        <w:rPr>
          <w:lang w:val="en-US"/>
        </w:rPr>
        <w:t>2015 :</w:t>
      </w:r>
      <w:proofErr w:type="gramEnd"/>
      <w:r w:rsidRPr="00797CAB">
        <w:rPr>
          <w:lang w:val="en-US"/>
        </w:rPr>
        <w:t xml:space="preserve"> Maximizing Mobile to Increase Revenue.” </w:t>
      </w:r>
      <w:hyperlink r:id="rId8">
        <w:r w:rsidRPr="00CE2AEC">
          <w:rPr>
            <w:rStyle w:val="Hipervnculo"/>
            <w:rFonts w:ascii="Arial" w:hAnsi="Arial" w:cs="Arial"/>
          </w:rPr>
          <w:t>https://www.accenture.com/us-en/retail-research-2016-consumer-research</w:t>
        </w:r>
      </w:hyperlink>
      <w:r w:rsidRPr="00CE2AEC">
        <w:t>.</w:t>
      </w:r>
    </w:p>
    <w:p w:rsidR="0036739A" w:rsidRPr="00797CAB" w:rsidRDefault="00507961" w:rsidP="00664628">
      <w:pPr>
        <w:pStyle w:val="Bibliografa"/>
        <w:rPr>
          <w:lang w:val="en-US"/>
        </w:rPr>
      </w:pPr>
      <w:r w:rsidRPr="00797CAB">
        <w:rPr>
          <w:lang w:val="en-US"/>
        </w:rPr>
        <w:t xml:space="preserve">Zeithaml, Valerie, Mary Jo Bitner, and Dwayne D. </w:t>
      </w:r>
      <w:proofErr w:type="spellStart"/>
      <w:r w:rsidRPr="00797CAB">
        <w:rPr>
          <w:lang w:val="en-US"/>
        </w:rPr>
        <w:t>Gremler</w:t>
      </w:r>
      <w:proofErr w:type="spellEnd"/>
      <w:r w:rsidRPr="00797CAB">
        <w:rPr>
          <w:lang w:val="en-US"/>
        </w:rPr>
        <w:t xml:space="preserve">. 2006. </w:t>
      </w:r>
      <w:r w:rsidRPr="00797CAB">
        <w:rPr>
          <w:i/>
          <w:lang w:val="en-US"/>
        </w:rPr>
        <w:t>Services Marketing</w:t>
      </w:r>
      <w:r w:rsidRPr="00797CAB">
        <w:rPr>
          <w:lang w:val="en-US"/>
        </w:rPr>
        <w:t>. Tata McGraw-Hill Education.</w:t>
      </w:r>
    </w:p>
    <w:sectPr w:rsidR="0036739A" w:rsidRPr="00797CAB" w:rsidSect="0066462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F01" w:rsidRDefault="007A1F01" w:rsidP="00664628">
      <w:r>
        <w:separator/>
      </w:r>
    </w:p>
  </w:endnote>
  <w:endnote w:type="continuationSeparator" w:id="0">
    <w:p w:rsidR="007A1F01" w:rsidRDefault="007A1F01" w:rsidP="00664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30C" w:rsidRPr="00D9630C" w:rsidRDefault="00D9630C">
    <w:pPr>
      <w:pStyle w:val="Piedepgina"/>
      <w:jc w:val="center"/>
      <w:rPr>
        <w:caps/>
        <w:sz w:val="20"/>
        <w:szCs w:val="20"/>
      </w:rPr>
    </w:pPr>
    <w:r w:rsidRPr="00D9630C">
      <w:rPr>
        <w:caps/>
        <w:sz w:val="20"/>
        <w:szCs w:val="20"/>
      </w:rPr>
      <w:fldChar w:fldCharType="begin"/>
    </w:r>
    <w:r w:rsidRPr="00D9630C">
      <w:rPr>
        <w:caps/>
        <w:sz w:val="20"/>
        <w:szCs w:val="20"/>
      </w:rPr>
      <w:instrText>PAGE   \* MERGEFORMAT</w:instrText>
    </w:r>
    <w:r w:rsidRPr="00D9630C">
      <w:rPr>
        <w:caps/>
        <w:sz w:val="20"/>
        <w:szCs w:val="20"/>
      </w:rPr>
      <w:fldChar w:fldCharType="separate"/>
    </w:r>
    <w:r w:rsidRPr="00D9630C">
      <w:rPr>
        <w:caps/>
        <w:sz w:val="20"/>
        <w:szCs w:val="20"/>
      </w:rPr>
      <w:t>2</w:t>
    </w:r>
    <w:r w:rsidRPr="00D9630C">
      <w:rPr>
        <w:caps/>
        <w:sz w:val="20"/>
        <w:szCs w:val="20"/>
      </w:rPr>
      <w:fldChar w:fldCharType="end"/>
    </w:r>
  </w:p>
  <w:p w:rsidR="00D9630C" w:rsidRDefault="00D963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F01" w:rsidRDefault="007A1F01" w:rsidP="00664628">
      <w:r>
        <w:separator/>
      </w:r>
    </w:p>
  </w:footnote>
  <w:footnote w:type="continuationSeparator" w:id="0">
    <w:p w:rsidR="007A1F01" w:rsidRDefault="007A1F01" w:rsidP="00664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2F3D7"/>
    <w:multiLevelType w:val="multilevel"/>
    <w:tmpl w:val="02420F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D0EF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E4AFC5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164AE5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8E1A1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2BBAD56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606E6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455C2FD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F694552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E1678D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420FE8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997222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8277DF6"/>
    <w:multiLevelType w:val="multilevel"/>
    <w:tmpl w:val="D80A95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C87156"/>
    <w:multiLevelType w:val="multilevel"/>
    <w:tmpl w:val="A3A69F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CF29A4"/>
    <w:multiLevelType w:val="multilevel"/>
    <w:tmpl w:val="B86C89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196B16"/>
    <w:multiLevelType w:val="hybridMultilevel"/>
    <w:tmpl w:val="D1A2DCDC"/>
    <w:lvl w:ilvl="0" w:tplc="6A5CE0C2">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558EFAD"/>
    <w:multiLevelType w:val="multilevel"/>
    <w:tmpl w:val="DEDE93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0A6313F"/>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6A66B0"/>
    <w:multiLevelType w:val="hybridMultilevel"/>
    <w:tmpl w:val="569400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47531B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E66FB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495459C"/>
    <w:multiLevelType w:val="multilevel"/>
    <w:tmpl w:val="89109D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BE1CE3"/>
    <w:multiLevelType w:val="multilevel"/>
    <w:tmpl w:val="45CAC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6"/>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8"/>
  </w:num>
  <w:num w:numId="14">
    <w:abstractNumId w:val="15"/>
  </w:num>
  <w:num w:numId="15">
    <w:abstractNumId w:val="22"/>
  </w:num>
  <w:num w:numId="16">
    <w:abstractNumId w:val="0"/>
  </w:num>
  <w:num w:numId="17">
    <w:abstractNumId w:val="21"/>
  </w:num>
  <w:num w:numId="18">
    <w:abstractNumId w:val="20"/>
  </w:num>
  <w:num w:numId="19">
    <w:abstractNumId w:val="17"/>
  </w:num>
  <w:num w:numId="20">
    <w:abstractNumId w:val="13"/>
  </w:num>
  <w:num w:numId="21">
    <w:abstractNumId w:val="13"/>
  </w:num>
  <w:num w:numId="22">
    <w:abstractNumId w:val="15"/>
  </w:num>
  <w:num w:numId="23">
    <w:abstractNumId w:val="13"/>
  </w:num>
  <w:num w:numId="24">
    <w:abstractNumId w:val="12"/>
  </w:num>
  <w:num w:numId="25">
    <w:abstractNumId w:val="19"/>
  </w:num>
  <w:num w:numId="26">
    <w:abstractNumId w:val="15"/>
  </w:num>
  <w:num w:numId="27">
    <w:abstractNumId w:val="14"/>
  </w:num>
  <w:num w:numId="28">
    <w:abstractNumId w:val="1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5D6C"/>
    <w:rsid w:val="001A3F96"/>
    <w:rsid w:val="001C1722"/>
    <w:rsid w:val="0036739A"/>
    <w:rsid w:val="003F42FA"/>
    <w:rsid w:val="004E29B3"/>
    <w:rsid w:val="00507961"/>
    <w:rsid w:val="00590D07"/>
    <w:rsid w:val="00664628"/>
    <w:rsid w:val="006E27A7"/>
    <w:rsid w:val="00784D58"/>
    <w:rsid w:val="00797CAB"/>
    <w:rsid w:val="007A1F01"/>
    <w:rsid w:val="00817CAF"/>
    <w:rsid w:val="008D6863"/>
    <w:rsid w:val="009A509B"/>
    <w:rsid w:val="00B86B75"/>
    <w:rsid w:val="00BC48D5"/>
    <w:rsid w:val="00C36279"/>
    <w:rsid w:val="00C543CA"/>
    <w:rsid w:val="00CE2AEC"/>
    <w:rsid w:val="00CF6BA4"/>
    <w:rsid w:val="00D51E2C"/>
    <w:rsid w:val="00D9630C"/>
    <w:rsid w:val="00E315A3"/>
    <w:rsid w:val="00EA02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5303"/>
  <w15:docId w15:val="{61A43B24-F74B-4D58-9CB7-C254CF8B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4628"/>
    <w:pPr>
      <w:spacing w:after="160" w:line="480" w:lineRule="auto"/>
      <w:ind w:firstLine="284"/>
    </w:pPr>
    <w:rPr>
      <w:rFonts w:ascii="Times New Roman" w:hAnsi="Times New Roman" w:cs="Times New Roman"/>
      <w:lang w:val="es-ES"/>
    </w:rPr>
  </w:style>
  <w:style w:type="paragraph" w:styleId="Ttulo1">
    <w:name w:val="heading 1"/>
    <w:basedOn w:val="Normal"/>
    <w:next w:val="Textoindependiente"/>
    <w:link w:val="Ttulo1Car"/>
    <w:uiPriority w:val="9"/>
    <w:qFormat/>
    <w:rsid w:val="00CF6BA4"/>
    <w:pPr>
      <w:numPr>
        <w:numId w:val="27"/>
      </w:numPr>
      <w:jc w:val="both"/>
      <w:outlineLvl w:val="0"/>
    </w:pPr>
    <w:rPr>
      <w:b/>
      <w:sz w:val="36"/>
      <w:szCs w:val="36"/>
      <w:lang w:val="en-US"/>
    </w:rPr>
  </w:style>
  <w:style w:type="paragraph" w:styleId="Ttulo2">
    <w:name w:val="heading 2"/>
    <w:basedOn w:val="Ttulo1"/>
    <w:next w:val="Textoindependiente"/>
    <w:uiPriority w:val="9"/>
    <w:unhideWhenUsed/>
    <w:qFormat/>
    <w:rsid w:val="00CF6BA4"/>
    <w:pPr>
      <w:numPr>
        <w:ilvl w:val="1"/>
      </w:numPr>
      <w:outlineLvl w:val="1"/>
    </w:pPr>
  </w:style>
  <w:style w:type="paragraph" w:styleId="Ttulo3">
    <w:name w:val="heading 3"/>
    <w:basedOn w:val="Textoindependiente"/>
    <w:next w:val="Textoindependiente"/>
    <w:uiPriority w:val="9"/>
    <w:unhideWhenUsed/>
    <w:qFormat/>
    <w:rsid w:val="006E27A7"/>
    <w:pPr>
      <w:outlineLvl w:val="2"/>
    </w:pPr>
    <w:rPr>
      <w:i/>
      <w:lang w:val="en-US"/>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664628"/>
    <w:pPr>
      <w:jc w:val="center"/>
    </w:pPr>
    <w:rPr>
      <w:b/>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666854"/>
  </w:style>
  <w:style w:type="character" w:customStyle="1" w:styleId="TtuloCar">
    <w:name w:val="Título Car"/>
    <w:basedOn w:val="Fuentedeprrafopredeter"/>
    <w:link w:val="Ttulo"/>
    <w:uiPriority w:val="10"/>
    <w:rsid w:val="00664628"/>
    <w:rPr>
      <w:rFonts w:ascii="Times New Roman" w:hAnsi="Times New Roman" w:cs="Times New Roman"/>
      <w:b/>
      <w:sz w:val="36"/>
      <w:szCs w:val="36"/>
    </w:rPr>
  </w:style>
  <w:style w:type="character" w:customStyle="1" w:styleId="Ttulo1Car">
    <w:name w:val="Título 1 Car"/>
    <w:basedOn w:val="Fuentedeprrafopredeter"/>
    <w:link w:val="Ttulo1"/>
    <w:uiPriority w:val="9"/>
    <w:rsid w:val="00CF6BA4"/>
    <w:rPr>
      <w:rFonts w:ascii="Times New Roman" w:hAnsi="Times New Roman" w:cs="Times New Roman"/>
      <w:b/>
      <w:sz w:val="36"/>
      <w:szCs w:val="36"/>
    </w:rPr>
  </w:style>
  <w:style w:type="paragraph" w:styleId="Encabezado">
    <w:name w:val="header"/>
    <w:basedOn w:val="Normal"/>
    <w:link w:val="EncabezadoCar"/>
    <w:unhideWhenUsed/>
    <w:rsid w:val="00D9630C"/>
    <w:pPr>
      <w:tabs>
        <w:tab w:val="center" w:pos="4252"/>
        <w:tab w:val="right" w:pos="8504"/>
      </w:tabs>
      <w:spacing w:after="0" w:line="240" w:lineRule="auto"/>
    </w:pPr>
  </w:style>
  <w:style w:type="character" w:customStyle="1" w:styleId="EncabezadoCar">
    <w:name w:val="Encabezado Car"/>
    <w:basedOn w:val="Fuentedeprrafopredeter"/>
    <w:link w:val="Encabezado"/>
    <w:rsid w:val="00D9630C"/>
    <w:rPr>
      <w:rFonts w:ascii="Times New Roman" w:hAnsi="Times New Roman" w:cs="Times New Roman"/>
      <w:lang w:val="es-ES"/>
    </w:rPr>
  </w:style>
  <w:style w:type="paragraph" w:styleId="Piedepgina">
    <w:name w:val="footer"/>
    <w:basedOn w:val="Normal"/>
    <w:link w:val="PiedepginaCar"/>
    <w:uiPriority w:val="99"/>
    <w:unhideWhenUsed/>
    <w:rsid w:val="00D963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630C"/>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retail-research-2016-consumer-research" TargetMode="External"/><Relationship Id="rId3" Type="http://schemas.openxmlformats.org/officeDocument/2006/relationships/settings" Target="settings.xml"/><Relationship Id="rId7" Type="http://schemas.openxmlformats.org/officeDocument/2006/relationships/hyperlink" Target="http://alturl.com/bpxd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329</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Omnichannel Behaviour. Definitions and Covariables</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Omnichannel Behaviour. Definitions and Covariables</dc:title>
  <dc:creator>Mónica Cortiñas Ugalde</dc:creator>
  <cp:lastModifiedBy>Mónica Cortiñas Ugalde</cp:lastModifiedBy>
  <cp:revision>8</cp:revision>
  <dcterms:created xsi:type="dcterms:W3CDTF">2018-09-25T10:34:00Z</dcterms:created>
  <dcterms:modified xsi:type="dcterms:W3CDTF">2019-02-12T17:47:00Z</dcterms:modified>
</cp:coreProperties>
</file>