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1538" cy="1236486"/>
            <wp:effectExtent b="0" l="0" r="0" t="0"/>
            <wp:docPr descr="Tecnológico de Monterrey: pionero en aprendizaje y bienestar remotos" id="16" name="image1.png"/>
            <a:graphic>
              <a:graphicData uri="http://schemas.openxmlformats.org/drawingml/2006/picture">
                <pic:pic>
                  <pic:nvPicPr>
                    <pic:cNvPr descr="Tecnológico de Monterrey: pionero en aprendizaje y bienestar remotos" id="0" name="image1.png"/>
                    <pic:cNvPicPr preferRelativeResize="0"/>
                  </pic:nvPicPr>
                  <pic:blipFill>
                    <a:blip r:embed="rId6"/>
                    <a:srcRect b="0" l="0" r="0" t="0"/>
                    <a:stretch>
                      <a:fillRect/>
                    </a:stretch>
                  </pic:blipFill>
                  <pic:spPr>
                    <a:xfrm>
                      <a:off x="0" y="0"/>
                      <a:ext cx="4681538" cy="123648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Calidad de Datos Adicionales</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Equipo 5</w:t>
      </w:r>
    </w:p>
    <w:tbl>
      <w:tblPr>
        <w:tblStyle w:val="Table1"/>
        <w:tblW w:w="6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2190"/>
        <w:tblGridChange w:id="0">
          <w:tblGrid>
            <w:gridCol w:w="4125"/>
            <w:gridCol w:w="219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Nombres y Matrículas</w:t>
            </w:r>
          </w:p>
        </w:tc>
      </w:tr>
      <w:tr>
        <w:trPr>
          <w:cantSplit w:val="0"/>
          <w:trHeight w:val="57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Ulises Orlando Carrizalez Lerín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A01027715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Mónica Monserrat Martínez Vásquez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A01710965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José Soto Castro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A01705840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Pérez Vera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A01028008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Nathaniel Keegan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A01700753</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Bárbara Paola Alcántara Vega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A01799609</w:t>
            </w:r>
          </w:p>
        </w:tc>
      </w:tr>
    </w:tbl>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color w:val="666666"/>
          <w:sz w:val="36"/>
          <w:szCs w:val="36"/>
        </w:rPr>
      </w:pPr>
      <w:r w:rsidDel="00000000" w:rsidR="00000000" w:rsidRPr="00000000">
        <w:rPr>
          <w:rFonts w:ascii="Times New Roman" w:cs="Times New Roman" w:eastAsia="Times New Roman" w:hAnsi="Times New Roman"/>
          <w:b w:val="1"/>
          <w:bCs w:val="1"/>
          <w:color w:val="666666"/>
          <w:sz w:val="36"/>
          <w:szCs w:val="36"/>
          <w:rtl w:val="0"/>
        </w:rPr>
        <w:t xml:space="preserve">TC3006C.101</w:t>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Inteligencia artificial avanzada para la ciencia de datos II (Gpo 501)</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Índice</w: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tl w:val="0"/>
        </w:rPr>
      </w:r>
    </w:p>
    <w:sdt>
      <w:sdtPr>
        <w:id w:val="-2142734360"/>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fhut5jyjydm">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Tipos de Datos y Cambios Necesarios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e68f3ms7nfen">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Datos Nulos o vacíos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jjfpwzt0sey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Rangos y Distribución de Datos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7f2y5nq86q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####.csv</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bbjez2zfstf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Media de Flujos (kg/min)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3zp2t65dcz9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Sangre (ppm)</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2w5qftnpenx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Producciones (kg/min)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r1hw71m4yo3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Patadas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41aapzs1sit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Incompletos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z18tcvvgt9n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Pezones no encontrados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sf7nhn7e4kd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patadas_DDMMAA.csv</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200" w:before="200" w:line="276" w:lineRule="auto"/>
        <w:rPr>
          <w:sz w:val="22"/>
          <w:szCs w:val="22"/>
        </w:rPr>
      </w:pPr>
      <w:bookmarkStart w:colFirst="0" w:colLast="0" w:name="_vag1o650vowq" w:id="0"/>
      <w:bookmarkEnd w:id="0"/>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utilizado para evaluar la calidad de los datos:</w:t>
      </w:r>
      <w:hyperlink r:id="rId7">
        <w:r w:rsidDel="00000000" w:rsidR="00000000" w:rsidRPr="00000000">
          <w:rPr>
            <w:rFonts w:ascii="Times New Roman" w:cs="Times New Roman" w:eastAsia="Times New Roman" w:hAnsi="Times New Roman"/>
            <w:color w:val="0000ee"/>
            <w:sz w:val="24"/>
            <w:szCs w:val="24"/>
            <w:u w:val="single"/>
            <w:rtl w:val="0"/>
          </w:rPr>
          <w:t xml:space="preserve">Calidad de Datos.ipynb</w:t>
        </w:r>
      </w:hyperlink>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spacing w:after="0" w:before="0" w:line="240" w:lineRule="auto"/>
        <w:jc w:val="both"/>
        <w:rPr/>
      </w:pPr>
      <w:bookmarkStart w:colFirst="0" w:colLast="0" w:name="_ifhut5jyjydm" w:id="1"/>
      <w:bookmarkEnd w:id="1"/>
      <w:r w:rsidDel="00000000" w:rsidR="00000000" w:rsidRPr="00000000">
        <w:rPr>
          <w:rtl w:val="0"/>
        </w:rPr>
        <w:t xml:space="preserve">Tipos de Datos y Cambios Necesarios</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¿Requiere cambio? </w:t>
            </w:r>
          </w:p>
        </w:tc>
      </w:tr>
      <w:tr>
        <w:trPr>
          <w:cantSplit w:val="0"/>
          <w:trHeight w:val="44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(float64)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Pezones no encontrados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los flujos (Kg/min)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(float64)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Conductividad (mS / cm) *</w:t>
            </w:r>
          </w:p>
          <w:p w:rsidR="00000000" w:rsidDel="00000000" w:rsidP="00000000" w:rsidRDefault="00000000" w:rsidRPr="00000000" w14:paraId="00000077">
            <w:pPr>
              <w:widowControl w:val="0"/>
              <w:spacing w:after="80" w:before="28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(float64)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Sangre (ppm)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(float64)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Destinos leche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7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máximos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(float64)</w:t>
            </w:r>
          </w:p>
        </w:tc>
      </w:tr>
      <w:tr>
        <w:trPr>
          <w:cantSplit w:val="0"/>
          <w:trHeight w:val="735"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83">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 columnas se deben de renombrar como (Ej. Sangre (ppm) DD, Sangre (ppm) DI, Sangre (ppm) TD, Sangre (ppm) TI)</w:t>
            </w:r>
          </w:p>
        </w:tc>
      </w:tr>
      <w:tr>
        <w:trPr>
          <w:cantSplit w:val="0"/>
          <w:trHeight w:val="44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inventario_total_DDMMAA.csv</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Número(s) de selección de animal</w:t>
            </w:r>
          </w:p>
          <w:p w:rsidR="00000000" w:rsidDel="00000000" w:rsidP="00000000" w:rsidRDefault="00000000" w:rsidRPr="00000000" w14:paraId="0000008D">
            <w:pPr>
              <w:widowControl w:val="0"/>
              <w:spacing w:after="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widowControl w:val="0"/>
              <w:spacing w:after="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en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 en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Lactación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inseminaciones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Si(datetime64)</w:t>
            </w:r>
          </w:p>
        </w:tc>
      </w:tr>
      <w:tr>
        <w:trPr>
          <w:cantSplit w:val="0"/>
          <w:trHeight w:val="44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patadas_DDMMAA.csv</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inicio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Si(datetime64)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gridSpan w:val="3"/>
            <w:shd w:fill="cfe2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80" w:before="28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reporte_DDMMAA.csv</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 de selección de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reproducción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la última inseminación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la última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Último Aborto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último evento de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inseminación artificial temporizada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vacunación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(int64)</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D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Los datos que son objetos o float64 y deben cambiarse a int64, requieren ser transformados al formato correspondiente. (Ej. 1,000 con el formato correcto, cambia a 1000, sin la coma)</w:t>
            </w:r>
          </w:p>
        </w:tc>
      </w:tr>
    </w:tbl>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1"/>
        <w:spacing w:after="0" w:before="0" w:line="240" w:lineRule="auto"/>
        <w:jc w:val="both"/>
        <w:rPr/>
      </w:pPr>
      <w:bookmarkStart w:colFirst="0" w:colLast="0" w:name="_e68f3ms7nfen" w:id="2"/>
      <w:bookmarkEnd w:id="2"/>
      <w:r w:rsidDel="00000000" w:rsidR="00000000" w:rsidRPr="00000000">
        <w:rPr>
          <w:rtl w:val="0"/>
        </w:rPr>
        <w:t xml:space="preserve">Datos Nulos o vacíos</w:t>
      </w:r>
    </w:p>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archivos por vaca (####.csv), el único dato sin datos nulos, es Acción, debido a que siempre se registra a las vacas, como ordeñada o rechazada. El total en varias columnas de 233, resulta en la etiqueta de Acción siendo ‘rechazada’. Por lo cual, no se reduce a un fallo con los datos. En los campos de ‘Patada’, ‘Incompleto’, ‘Pezones no encontrados’, los datos nulos resultan de la omisión de alguno de estos casos presentándose en la sesión de ordeño o por rechazo del animal.</w:t>
      </w:r>
    </w:p>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archivos de inventario y patadas, no existen datos nulos.</w:t>
      </w:r>
    </w:p>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60"/>
        <w:gridCol w:w="1590"/>
        <w:gridCol w:w="525"/>
        <w:gridCol w:w="1725"/>
        <w:gridCol w:w="525"/>
        <w:gridCol w:w="1695"/>
        <w:gridCol w:w="555"/>
        <w:tblGridChange w:id="0">
          <w:tblGrid>
            <w:gridCol w:w="1725"/>
            <w:gridCol w:w="660"/>
            <w:gridCol w:w="1590"/>
            <w:gridCol w:w="525"/>
            <w:gridCol w:w="1725"/>
            <w:gridCol w:w="525"/>
            <w:gridCol w:w="1695"/>
            <w:gridCol w:w="55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####.csv</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inventario_total_DDMMAA.csv</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patadas_DDMMAA.csv</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reporte_DDMMAA.csv</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F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del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Producción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Número(s) de selección de animal</w:t>
            </w:r>
          </w:p>
          <w:p w:rsidR="00000000" w:rsidDel="00000000" w:rsidP="00000000" w:rsidRDefault="00000000" w:rsidRPr="00000000" w14:paraId="000000F7">
            <w:pPr>
              <w:widowControl w:val="0"/>
              <w:spacing w:after="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widowControl w:val="0"/>
              <w:spacing w:after="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en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 inicio ordeño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 de selección de 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5950</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Edad en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de la reproducción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6235</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Lactación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la última inseminación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Pezones no encontrados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6010</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Número de inseminaciones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la última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AMD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inseminación fecundante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80" w:before="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Último Aborto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de los flujos (Kg/min)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último evento de 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Conductividad (mS / cm)</w:t>
            </w:r>
          </w:p>
          <w:p w:rsidR="00000000" w:rsidDel="00000000" w:rsidP="00000000" w:rsidRDefault="00000000" w:rsidRPr="00000000" w14:paraId="0000013A">
            <w:pPr>
              <w:widowControl w:val="0"/>
              <w:spacing w:after="80" w:before="28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inseminación artificial temporizada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3">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Sangre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salud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Destinos leche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Días desde el último tratamiento de vacunación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5">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Flujos máximos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5E">
      <w:pPr>
        <w:pStyle w:val="Heading2"/>
        <w:spacing w:after="0" w:before="0" w:line="240" w:lineRule="auto"/>
        <w:jc w:val="both"/>
        <w:rPr>
          <w:rFonts w:ascii="Times New Roman" w:cs="Times New Roman" w:eastAsia="Times New Roman" w:hAnsi="Times New Roman"/>
          <w:i w:val="1"/>
          <w:iCs w:val="1"/>
          <w:sz w:val="28"/>
          <w:szCs w:val="28"/>
        </w:rPr>
      </w:pPr>
      <w:bookmarkStart w:colFirst="0" w:colLast="0" w:name="_yo4b4e6e0ups" w:id="3"/>
      <w:bookmarkEnd w:id="3"/>
      <w:r w:rsidDel="00000000" w:rsidR="00000000" w:rsidRPr="00000000">
        <w:rPr>
          <w:rtl w:val="0"/>
        </w:rPr>
      </w:r>
    </w:p>
    <w:p w:rsidR="00000000" w:rsidDel="00000000" w:rsidP="00000000" w:rsidRDefault="00000000" w:rsidRPr="00000000" w14:paraId="0000015F">
      <w:pPr>
        <w:pStyle w:val="Heading2"/>
        <w:rPr/>
      </w:pPr>
      <w:bookmarkStart w:colFirst="0" w:colLast="0" w:name="_jjfpwzt0seym" w:id="4"/>
      <w:bookmarkEnd w:id="4"/>
      <w:r w:rsidDel="00000000" w:rsidR="00000000" w:rsidRPr="00000000">
        <w:rPr>
          <w:rtl w:val="0"/>
        </w:rPr>
        <w:t xml:space="preserve">Rangos y Distribución de Datos</w:t>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encontrar los datos erróneos y aislados de los demás datos, sacamos los rangos de cada columna y su distribución. </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3"/>
        <w:rPr/>
      </w:pPr>
      <w:bookmarkStart w:colFirst="0" w:colLast="0" w:name="_h7f2y5nq86q4" w:id="5"/>
      <w:bookmarkEnd w:id="5"/>
      <w:r w:rsidDel="00000000" w:rsidR="00000000" w:rsidRPr="00000000">
        <w:rPr>
          <w:rtl w:val="0"/>
        </w:rPr>
        <w:t xml:space="preserve">####.csv </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4"/>
        <w:rPr/>
      </w:pPr>
      <w:bookmarkStart w:colFirst="0" w:colLast="0" w:name="_bbjez2zfstfy" w:id="6"/>
      <w:bookmarkEnd w:id="6"/>
      <w:r w:rsidDel="00000000" w:rsidR="00000000" w:rsidRPr="00000000">
        <w:rPr>
          <w:rtl w:val="0"/>
        </w:rPr>
        <w:t xml:space="preserve">Media de Flujos (kg/min)</w:t>
      </w:r>
    </w:p>
    <w:p w:rsidR="00000000" w:rsidDel="00000000" w:rsidP="00000000" w:rsidRDefault="00000000" w:rsidRPr="00000000" w14:paraId="000001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archivos individuales por animal, se encuentran rasgos distintivos entre los datos. Un ejemplo, es la lectura de Media de los flujos por ubre. En las ubres del cuadrante derecho, hay una distribución de datos menos dispersa entre 0.0 a 2.82 kg/min por cuadro. Mientras que el cuadrante izquierdo tiene un rango en ambos cuadrantes igual o mayor de 0 a 4 kg/min. Revisando más los datos, los datos arriba de 3 kg/min, resultan ser menos que los que se encuentran dentro del rango 0.0 a 2.82 kg/min.</w:t>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Derecho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Trasero: Rango [0.0, 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Delantero: Rango [0.0, 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33600"/>
                  <wp:effectExtent b="0" l="0" r="0" t="0"/>
                  <wp:docPr id="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27241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Izquierdo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Trasero: Rango [0.0, 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Delantero: Rango [0.0, 4.98]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2349" cy="2139481"/>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732349" cy="21394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w:t>
      </w:r>
      <w:hyperlink r:id="rId12">
        <w:r w:rsidDel="00000000" w:rsidR="00000000" w:rsidRPr="00000000">
          <w:rPr>
            <w:rFonts w:ascii="Times New Roman" w:cs="Times New Roman" w:eastAsia="Times New Roman" w:hAnsi="Times New Roman"/>
            <w:color w:val="0000ee"/>
            <w:sz w:val="24"/>
            <w:szCs w:val="24"/>
            <w:u w:val="single"/>
            <w:rtl w:val="0"/>
          </w:rPr>
          <w:t xml:space="preserve">Calidad de Datos.ipynb</w:t>
        </w:r>
      </w:hyperlink>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4"/>
        <w:spacing w:line="240" w:lineRule="auto"/>
        <w:rPr/>
      </w:pPr>
      <w:bookmarkStart w:colFirst="0" w:colLast="0" w:name="_3zp2t65dcz93" w:id="7"/>
      <w:bookmarkEnd w:id="7"/>
      <w:r w:rsidDel="00000000" w:rsidR="00000000" w:rsidRPr="00000000">
        <w:rPr>
          <w:rtl w:val="0"/>
        </w:rPr>
        <w:t xml:space="preserve">Sangre (ppm)</w:t>
      </w:r>
    </w:p>
    <w:p w:rsidR="00000000" w:rsidDel="00000000" w:rsidP="00000000" w:rsidRDefault="00000000" w:rsidRPr="00000000" w14:paraId="0000017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columna de Sangre por partes en millón, la mayoría de los datos se encuentran en 0. Lo cual sería el valor esperado en una vaca saludable. Pero al retirar los valores en 0, encontramos que los rangos entre los cuadrantes derecho e izquierdo, resultan de nuevo diferentes. Los cuadros derechos teniendo un rango de en promedio [0.0, 3,338]. Mientras que los cuadros izquierdo resultan en un promedio de [0.0, 7,995].</w:t>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Derecho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Trasero: Rango [0.0, 3,890.0]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Delantero: Rango [0.0, 2,786.0]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717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Izquierdo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Trasero: Rango [0.0, 7,992.0]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Delantero: Rango [0.0, 7,997.0]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717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7170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72415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w:t>
      </w:r>
      <w:hyperlink r:id="rId17">
        <w:r w:rsidDel="00000000" w:rsidR="00000000" w:rsidRPr="00000000">
          <w:rPr>
            <w:rFonts w:ascii="Times New Roman" w:cs="Times New Roman" w:eastAsia="Times New Roman" w:hAnsi="Times New Roman"/>
            <w:color w:val="0000ee"/>
            <w:sz w:val="24"/>
            <w:szCs w:val="24"/>
            <w:u w:val="single"/>
            <w:rtl w:val="0"/>
          </w:rPr>
          <w:t xml:space="preserve">Calidad de Datos.ipynb</w:t>
        </w:r>
      </w:hyperlink>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4"/>
        <w:spacing w:line="240" w:lineRule="auto"/>
        <w:rPr/>
      </w:pPr>
      <w:bookmarkStart w:colFirst="0" w:colLast="0" w:name="_2w5qftnpenxe" w:id="8"/>
      <w:bookmarkEnd w:id="8"/>
      <w:r w:rsidDel="00000000" w:rsidR="00000000" w:rsidRPr="00000000">
        <w:rPr>
          <w:rtl w:val="0"/>
        </w:rPr>
        <w:t xml:space="preserve">Producciones (kg/min)</w:t>
      </w:r>
    </w:p>
    <w:p w:rsidR="00000000" w:rsidDel="00000000" w:rsidP="00000000" w:rsidRDefault="00000000" w:rsidRPr="00000000" w14:paraId="0000018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columna de Producciones, encontramos que los rangos más grandes, se encuentran en los cuadros traseros.  Con los histogramas, podemos ver que la distribución de los datos traseros a comparación con los delanteros también es diferente. Por lo que, no se pueden descartar los datos por arriba del promedio como residuales.</w:t>
      </w:r>
    </w:p>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Delantero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Izquierdo: Rango [0.0, 10.42]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Rango [0.0, 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1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Cuadrante Trasero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Izquierdo: Rango [0.0, 14.31]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Derecho: Rango [0.0, 13.33]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2146300"/>
                  <wp:effectExtent b="0" l="0" r="0" t="0"/>
                  <wp:docPr id="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724150" cy="214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w:t>
      </w:r>
      <w:hyperlink r:id="rId22">
        <w:r w:rsidDel="00000000" w:rsidR="00000000" w:rsidRPr="00000000">
          <w:rPr>
            <w:rFonts w:ascii="Times New Roman" w:cs="Times New Roman" w:eastAsia="Times New Roman" w:hAnsi="Times New Roman"/>
            <w:color w:val="0000ee"/>
            <w:sz w:val="24"/>
            <w:szCs w:val="24"/>
            <w:u w:val="single"/>
            <w:rtl w:val="0"/>
          </w:rPr>
          <w:t xml:space="preserve">Calidad de Datos.ipynb</w:t>
        </w:r>
      </w:hyperlink>
      <w:r w:rsidDel="00000000" w:rsidR="00000000" w:rsidRPr="00000000">
        <w:rPr>
          <w:rtl w:val="0"/>
        </w:rPr>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Style w:val="Heading4"/>
        <w:spacing w:line="240" w:lineRule="auto"/>
        <w:rPr/>
      </w:pPr>
      <w:bookmarkStart w:colFirst="0" w:colLast="0" w:name="_r1hw71m4yo31" w:id="9"/>
      <w:bookmarkEnd w:id="9"/>
      <w:r w:rsidDel="00000000" w:rsidR="00000000" w:rsidRPr="00000000">
        <w:rPr>
          <w:rtl w:val="0"/>
        </w:rPr>
        <w:t xml:space="preserve">Patadas</w:t>
      </w:r>
    </w:p>
    <w:p w:rsidR="00000000" w:rsidDel="00000000" w:rsidP="00000000" w:rsidRDefault="00000000" w:rsidRPr="00000000" w14:paraId="000001A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columna de patadas, la cual se relaciona con la inflamación y malestar de la ubre del animal, se identifica más en el cuadro Trasero Derecho. </w:t>
      </w:r>
    </w:p>
    <w:p w:rsidR="00000000" w:rsidDel="00000000" w:rsidP="00000000" w:rsidRDefault="00000000" w:rsidRPr="00000000" w14:paraId="000001A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81575" cy="2970740"/>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981575" cy="297074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Fuente: </w:t>
      </w:r>
      <w:hyperlink r:id="rId24">
        <w:r w:rsidDel="00000000" w:rsidR="00000000" w:rsidRPr="00000000">
          <w:rPr>
            <w:rFonts w:ascii="Times New Roman" w:cs="Times New Roman" w:eastAsia="Times New Roman" w:hAnsi="Times New Roman"/>
            <w:color w:val="0000ee"/>
            <w:sz w:val="20"/>
            <w:szCs w:val="20"/>
            <w:u w:val="single"/>
            <w:rtl w:val="0"/>
          </w:rPr>
          <w:t xml:space="preserve">Calidad de Datos.ipynb</w:t>
        </w:r>
      </w:hyperlink>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pStyle w:val="Heading4"/>
        <w:spacing w:line="240" w:lineRule="auto"/>
        <w:rPr/>
      </w:pPr>
      <w:bookmarkStart w:colFirst="0" w:colLast="0" w:name="_41aapzs1sitp" w:id="10"/>
      <w:bookmarkEnd w:id="10"/>
      <w:r w:rsidDel="00000000" w:rsidR="00000000" w:rsidRPr="00000000">
        <w:rPr>
          <w:rtl w:val="0"/>
        </w:rPr>
        <w:t xml:space="preserve">Incompletos</w:t>
      </w:r>
    </w:p>
    <w:p w:rsidR="00000000" w:rsidDel="00000000" w:rsidP="00000000" w:rsidRDefault="00000000" w:rsidRPr="00000000" w14:paraId="000001A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cuadros incompletos, los cuadros traseros también son los más comunes. </w:t>
      </w:r>
    </w:p>
    <w:p w:rsidR="00000000" w:rsidDel="00000000" w:rsidP="00000000" w:rsidRDefault="00000000" w:rsidRPr="00000000" w14:paraId="000001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58715" cy="2957107"/>
            <wp:effectExtent b="0" l="0" r="0" t="0"/>
            <wp:docPr id="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958715" cy="295710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Fuente: </w:t>
      </w:r>
      <w:hyperlink r:id="rId26">
        <w:r w:rsidDel="00000000" w:rsidR="00000000" w:rsidRPr="00000000">
          <w:rPr>
            <w:rFonts w:ascii="Times New Roman" w:cs="Times New Roman" w:eastAsia="Times New Roman" w:hAnsi="Times New Roman"/>
            <w:color w:val="0000ee"/>
            <w:sz w:val="20"/>
            <w:szCs w:val="20"/>
            <w:u w:val="single"/>
            <w:rtl w:val="0"/>
          </w:rPr>
          <w:t xml:space="preserve">Calidad de Datos.ipynb</w:t>
        </w:r>
      </w:hyperlink>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pStyle w:val="Heading4"/>
        <w:spacing w:line="240" w:lineRule="auto"/>
        <w:rPr/>
      </w:pPr>
      <w:bookmarkStart w:colFirst="0" w:colLast="0" w:name="_z18tcvvgt9n6" w:id="11"/>
      <w:bookmarkEnd w:id="11"/>
      <w:r w:rsidDel="00000000" w:rsidR="00000000" w:rsidRPr="00000000">
        <w:rPr>
          <w:rtl w:val="0"/>
        </w:rPr>
        <w:t xml:space="preserve">Pezones no encontrados</w:t>
      </w:r>
    </w:p>
    <w:p w:rsidR="00000000" w:rsidDel="00000000" w:rsidP="00000000" w:rsidRDefault="00000000" w:rsidRPr="00000000" w14:paraId="000001A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pezones menos encontrados son los cuadros traseros. Este estado, nos explica la distribución no uniforme en otras columnas.</w:t>
      </w:r>
    </w:p>
    <w:p w:rsidR="00000000" w:rsidDel="00000000" w:rsidP="00000000" w:rsidRDefault="00000000" w:rsidRPr="00000000" w14:paraId="000001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28235" cy="2938931"/>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928235" cy="2938931"/>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Fuente: </w:t>
      </w:r>
      <w:hyperlink r:id="rId28">
        <w:r w:rsidDel="00000000" w:rsidR="00000000" w:rsidRPr="00000000">
          <w:rPr>
            <w:rFonts w:ascii="Times New Roman" w:cs="Times New Roman" w:eastAsia="Times New Roman" w:hAnsi="Times New Roman"/>
            <w:color w:val="0000ee"/>
            <w:sz w:val="20"/>
            <w:szCs w:val="20"/>
            <w:u w:val="single"/>
            <w:rtl w:val="0"/>
          </w:rPr>
          <w:t xml:space="preserve">Calidad de Datos.ipynb</w:t>
        </w:r>
      </w:hyperlink>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pStyle w:val="Heading2"/>
        <w:spacing w:after="0" w:before="0" w:line="240" w:lineRule="auto"/>
        <w:jc w:val="both"/>
        <w:rPr>
          <w:rFonts w:ascii="Times New Roman" w:cs="Times New Roman" w:eastAsia="Times New Roman" w:hAnsi="Times New Roman"/>
          <w:i w:val="1"/>
          <w:iCs w:val="1"/>
          <w:sz w:val="28"/>
          <w:szCs w:val="28"/>
        </w:rPr>
      </w:pPr>
      <w:bookmarkStart w:colFirst="0" w:colLast="0" w:name="_sf7nhn7e4kd7" w:id="12"/>
      <w:bookmarkEnd w:id="12"/>
      <w:r w:rsidDel="00000000" w:rsidR="00000000" w:rsidRPr="00000000">
        <w:rPr>
          <w:rFonts w:ascii="Times New Roman" w:cs="Times New Roman" w:eastAsia="Times New Roman" w:hAnsi="Times New Roman"/>
          <w:i w:val="1"/>
          <w:iCs w:val="1"/>
          <w:sz w:val="28"/>
          <w:szCs w:val="28"/>
          <w:rtl w:val="0"/>
        </w:rPr>
        <w:t xml:space="preserve">patadas_DDMMAA.csv</w:t>
      </w:r>
      <w:r w:rsidDel="00000000" w:rsidR="00000000" w:rsidRPr="00000000">
        <w:rPr>
          <w:rtl w:val="0"/>
        </w:rPr>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[0, 438]</w:t>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vacas tienen más de 400 días en ordeño, lo que sugiere falta de actualización o error en el sistema en caso de que no se especifique una lactancia prolongada (2 años en vez de 1).</w:t>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163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Fuente: </w:t>
      </w:r>
      <w:hyperlink r:id="rId30">
        <w:r w:rsidDel="00000000" w:rsidR="00000000" w:rsidRPr="00000000">
          <w:rPr>
            <w:rFonts w:ascii="Times New Roman" w:cs="Times New Roman" w:eastAsia="Times New Roman" w:hAnsi="Times New Roman"/>
            <w:b w:val="1"/>
            <w:bCs w:val="1"/>
            <w:color w:val="0000ee"/>
            <w:sz w:val="20"/>
            <w:szCs w:val="20"/>
            <w:u w:val="single"/>
            <w:rtl w:val="0"/>
          </w:rPr>
          <w:t xml:space="preserve">Calidad de Datos.ipynb</w:t>
        </w:r>
      </w:hyperlink>
      <w:r w:rsidDel="00000000" w:rsidR="00000000" w:rsidRPr="00000000">
        <w:rPr>
          <w:rtl w:val="0"/>
        </w:rPr>
      </w:r>
    </w:p>
    <w:sectPr>
      <w:headerReference r:id="rId31" w:type="first"/>
      <w:footerReference r:id="rId32" w:type="default"/>
      <w:footerReference r:id="rId3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both"/>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line="240" w:lineRule="auto"/>
      <w:jc w:val="both"/>
    </w:pPr>
    <w:rPr>
      <w:rFonts w:ascii="Times New Roman" w:cs="Times New Roman" w:eastAsia="Times New Roman" w:hAnsi="Times New Roman"/>
      <w:i w:val="1"/>
      <w:iCs w:val="1"/>
      <w:color w:val="666666"/>
      <w:sz w:val="36"/>
      <w:szCs w:val="36"/>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color w:val="434343"/>
      <w:sz w:val="28"/>
      <w:szCs w:val="28"/>
    </w:rPr>
  </w:style>
  <w:style w:type="paragraph" w:styleId="Heading4">
    <w:name w:val="heading 4"/>
    <w:basedOn w:val="Normal"/>
    <w:next w:val="Normal"/>
    <w:pPr>
      <w:keepNext w:val="1"/>
      <w:keepLines w:val="1"/>
      <w:spacing w:after="80" w:before="280" w:line="240" w:lineRule="auto"/>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colab.research.google.com/drive/1mB7ygOSbGq5vV7t6MWnIa-OiEj3hplME?usp=sharing" TargetMode="External"/><Relationship Id="rId21" Type="http://schemas.openxmlformats.org/officeDocument/2006/relationships/image" Target="media/image15.png"/><Relationship Id="rId24" Type="http://schemas.openxmlformats.org/officeDocument/2006/relationships/hyperlink" Target="https://colab.research.google.com/drive/1mB7ygOSbGq5vV7t6MWnIa-OiEj3hplME?usp=sharing"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colab.research.google.com/drive/1mB7ygOSbGq5vV7t6MWnIa-OiEj3hplME?usp=sharing" TargetMode="External"/><Relationship Id="rId25" Type="http://schemas.openxmlformats.org/officeDocument/2006/relationships/image" Target="media/image13.png"/><Relationship Id="rId28" Type="http://schemas.openxmlformats.org/officeDocument/2006/relationships/hyperlink" Target="https://colab.research.google.com/drive/1mB7ygOSbGq5vV7t6MWnIa-OiEj3hplME?usp=sharing"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png"/><Relationship Id="rId7" Type="http://schemas.openxmlformats.org/officeDocument/2006/relationships/hyperlink" Target="https://colab.research.google.com/drive/1mB7ygOSbGq5vV7t6MWnIa-OiEj3hplME?usp=sharing" TargetMode="External"/><Relationship Id="rId8" Type="http://schemas.openxmlformats.org/officeDocument/2006/relationships/image" Target="media/image17.png"/><Relationship Id="rId31" Type="http://schemas.openxmlformats.org/officeDocument/2006/relationships/header" Target="header1.xml"/><Relationship Id="rId30" Type="http://schemas.openxmlformats.org/officeDocument/2006/relationships/hyperlink" Target="https://colab.research.google.com/drive/1mB7ygOSbGq5vV7t6MWnIa-OiEj3hplME?usp=sharing" TargetMode="External"/><Relationship Id="rId11" Type="http://schemas.openxmlformats.org/officeDocument/2006/relationships/image" Target="media/image14.png"/><Relationship Id="rId33" Type="http://schemas.openxmlformats.org/officeDocument/2006/relationships/footer" Target="footer2.xml"/><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hyperlink" Target="https://colab.research.google.com/drive/1mB7ygOSbGq5vV7t6MWnIa-OiEj3hplME?usp=sharing" TargetMode="External"/><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hyperlink" Target="https://colab.research.google.com/drive/1mB7ygOSbGq5vV7t6MWnIa-OiEj3hplME?usp=sharing" TargetMode="External"/><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