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2761"/>
          <w:sz w:val="34"/>
          <w:szCs w:val="34"/>
        </w:rPr>
        <w:t xml:space="preserve">Project Health RAG Methodology</w:t>
      </w:r>
    </w:p>
    <w:p>
      <w:pPr>
        <w:spacing w:after="160"/>
      </w:pPr>
      <w:r>
        <w:rPr>
          <w:i/>
          <w:iCs/>
          <w:color w:val="595959"/>
          <w:sz w:val="18"/>
          <w:szCs w:val="18"/>
        </w:rPr>
        <w:t xml:space="preserve">Professional Services Project Health Reporting Agent  ·  Phase 1 Framework Definition</w:t>
      </w:r>
    </w:p>
    <w:p>
      <w:pPr>
        <w:spacing w:after="80"/>
      </w:pPr>
      <w:r>
        <w:rPr>
          <w:b/>
          <w:bCs/>
          <w:color w:val="1E2761"/>
          <w:sz w:val="22"/>
          <w:szCs w:val="22"/>
        </w:rPr>
        <w:t xml:space="preserve">Purpose</w:t>
      </w:r>
    </w:p>
    <w:p>
      <w:pPr>
        <w:spacing w:after="140"/>
      </w:pPr>
      <w:r>
        <w:rPr>
          <w:sz w:val="19"/>
          <w:szCs w:val="19"/>
        </w:rPr>
        <w:t xml:space="preserve">Give leadership a Red/Amber/Green read on every project that is computed the same way every time, explained in plain English, and safe to trust even when the underlying data is incomplete or inconsistent between project managers.</w:t>
      </w:r>
    </w:p>
    <w:p>
      <w:pPr>
        <w:spacing w:after="80"/>
      </w:pPr>
      <w:r>
        <w:rPr>
          <w:b/>
          <w:bCs/>
          <w:color w:val="1E2761"/>
          <w:sz w:val="22"/>
          <w:szCs w:val="22"/>
        </w:rPr>
        <w:t xml:space="preserve">Signals and Weights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D9D9D9" w:sz="2"/>
              <w:left w:val="single" w:color="D9D9D9" w:sz="2"/>
              <w:bottom w:val="single" w:color="D9D9D9" w:sz="2"/>
              <w:right w:val="single" w:color="D9D9D9" w:sz="2"/>
            </w:tcBorders>
            <w:shd w:fill="1E2761" w:val="clear"/>
            <w:tcMar>
              <w:top w:type="dxa" w:w="60"/>
              <w:left w:type="dxa" w:w="100"/>
              <w:bottom w:type="dxa" w:w="60"/>
              <w:right w:type="dxa" w:w="100"/>
            </w:tcMar>
          </w:tcPr>
          <w:p>
            <w:pPr>
              <w:jc w:val="left"/>
            </w:pPr>
            <w:r>
              <w:rPr>
                <w:b/>
                <w:bCs/>
                <w:color w:val="FFFFFF"/>
                <w:sz w:val="18"/>
                <w:szCs w:val="18"/>
              </w:rPr>
              <w:t xml:space="preserve">Signal</w:t>
            </w:r>
          </w:p>
        </w:tc>
        <w:tc>
          <w:tcPr>
            <w:tcW w:type="dxa" w:w="700"/>
            <w:tcBorders>
              <w:top w:val="single" w:color="D9D9D9" w:sz="2"/>
              <w:left w:val="single" w:color="D9D9D9" w:sz="2"/>
              <w:bottom w:val="single" w:color="D9D9D9" w:sz="2"/>
              <w:right w:val="single" w:color="D9D9D9" w:sz="2"/>
            </w:tcBorders>
            <w:shd w:fill="1E2761" w:val="clear"/>
            <w:tcMar>
              <w:top w:type="dxa" w:w="60"/>
              <w:left w:type="dxa" w:w="100"/>
              <w:bottom w:type="dxa" w:w="60"/>
              <w:right w:type="dxa" w:w="100"/>
            </w:tcMar>
          </w:tcPr>
          <w:p>
            <w:pPr>
              <w:jc w:val="center"/>
            </w:pPr>
            <w:r>
              <w:rPr>
                <w:b/>
                <w:bCs/>
                <w:color w:val="FFFFFF"/>
                <w:sz w:val="18"/>
                <w:szCs w:val="18"/>
              </w:rPr>
              <w:t xml:space="preserve">Wt.</w:t>
            </w:r>
          </w:p>
        </w:tc>
        <w:tc>
          <w:tcPr>
            <w:tcW w:type="dxa" w:w="4400"/>
            <w:tcBorders>
              <w:top w:val="single" w:color="D9D9D9" w:sz="2"/>
              <w:left w:val="single" w:color="D9D9D9" w:sz="2"/>
              <w:bottom w:val="single" w:color="D9D9D9" w:sz="2"/>
              <w:right w:val="single" w:color="D9D9D9" w:sz="2"/>
            </w:tcBorders>
            <w:shd w:fill="1E2761" w:val="clear"/>
            <w:tcMar>
              <w:top w:type="dxa" w:w="60"/>
              <w:left w:type="dxa" w:w="100"/>
              <w:bottom w:type="dxa" w:w="60"/>
              <w:right w:type="dxa" w:w="100"/>
            </w:tcMar>
          </w:tcPr>
          <w:p>
            <w:pPr>
              <w:jc w:val="left"/>
            </w:pPr>
            <w:r>
              <w:rPr>
                <w:b/>
                <w:bCs/>
                <w:color w:val="FFFFFF"/>
                <w:sz w:val="18"/>
                <w:szCs w:val="18"/>
              </w:rPr>
              <w:t xml:space="preserve">What it measures</w:t>
            </w:r>
          </w:p>
        </w:tc>
        <w:tc>
          <w:tcPr>
            <w:tcW w:type="dxa" w:w="3500"/>
            <w:tcBorders>
              <w:top w:val="single" w:color="D9D9D9" w:sz="2"/>
              <w:left w:val="single" w:color="D9D9D9" w:sz="2"/>
              <w:bottom w:val="single" w:color="D9D9D9" w:sz="2"/>
              <w:right w:val="single" w:color="D9D9D9" w:sz="2"/>
            </w:tcBorders>
            <w:shd w:fill="1E2761" w:val="clear"/>
            <w:tcMar>
              <w:top w:type="dxa" w:w="60"/>
              <w:left w:type="dxa" w:w="100"/>
              <w:bottom w:type="dxa" w:w="60"/>
              <w:right w:type="dxa" w:w="100"/>
            </w:tcMar>
          </w:tcPr>
          <w:p>
            <w:pPr>
              <w:jc w:val="left"/>
            </w:pPr>
            <w:r>
              <w:rPr>
                <w:b/>
                <w:bCs/>
                <w:color w:val="FFFFFF"/>
                <w:sz w:val="18"/>
                <w:szCs w:val="18"/>
              </w:rPr>
              <w:t xml:space="preserve">Data source</w:t>
            </w:r>
          </w:p>
        </w:tc>
      </w:tr>
      <w:tr>
        <w:tc>
          <w:tcPr>
            <w:tcW w:type="dxa" w:w="22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bCs/>
                <w:color w:val="000000"/>
                <w:sz w:val="18"/>
                <w:szCs w:val="18"/>
              </w:rPr>
              <w:t xml:space="preserve">Schedule slippage</w:t>
            </w:r>
          </w:p>
        </w:tc>
        <w:tc>
          <w:tcPr>
            <w:tcW w:type="dxa" w:w="7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center"/>
            </w:pPr>
            <w:r>
              <w:rPr>
                <w:b w:val="false"/>
                <w:bCs w:val="false"/>
                <w:color w:val="000000"/>
                <w:sz w:val="18"/>
                <w:szCs w:val="18"/>
              </w:rPr>
              <w:t xml:space="preserve">35%</w:t>
            </w:r>
          </w:p>
        </w:tc>
        <w:tc>
          <w:tcPr>
            <w:tcW w:type="dxa" w:w="44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val="false"/>
                <w:bCs w:val="false"/>
                <w:color w:val="000000"/>
                <w:sz w:val="18"/>
                <w:szCs w:val="18"/>
              </w:rPr>
              <w:t xml:space="preserve">% of tasks behind their baseline finish date, average and worst-case slip in days</w:t>
            </w:r>
          </w:p>
        </w:tc>
        <w:tc>
          <w:tcPr>
            <w:tcW w:type="dxa" w:w="35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val="false"/>
                <w:bCs w:val="false"/>
                <w:color w:val="000000"/>
                <w:sz w:val="18"/>
                <w:szCs w:val="18"/>
              </w:rPr>
              <w:t xml:space="preserve">Baseline vs. actual Finish; Variance column</w:t>
            </w:r>
          </w:p>
        </w:tc>
      </w:tr>
      <w:tr>
        <w:tc>
          <w:tcPr>
            <w:tcW w:type="dxa" w:w="22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bCs/>
                <w:color w:val="000000"/>
                <w:sz w:val="18"/>
                <w:szCs w:val="18"/>
              </w:rPr>
              <w:t xml:space="preserve">Milestone health</w:t>
            </w:r>
          </w:p>
        </w:tc>
        <w:tc>
          <w:tcPr>
            <w:tcW w:type="dxa" w:w="7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center"/>
            </w:pPr>
            <w:r>
              <w:rPr>
                <w:b w:val="false"/>
                <w:bCs w:val="false"/>
                <w:color w:val="000000"/>
                <w:sz w:val="18"/>
                <w:szCs w:val="18"/>
              </w:rPr>
              <w:t xml:space="preserve">25%</w:t>
            </w:r>
          </w:p>
        </w:tc>
        <w:tc>
          <w:tcPr>
            <w:tcW w:type="dxa" w:w="44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val="false"/>
                <w:bCs w:val="false"/>
                <w:color w:val="000000"/>
                <w:sz w:val="18"/>
                <w:szCs w:val="18"/>
              </w:rPr>
              <w:t xml:space="preserve">Share of phases currently Red/Amber; tasks Not Started past their baseline start</w:t>
            </w:r>
          </w:p>
        </w:tc>
        <w:tc>
          <w:tcPr>
            <w:tcW w:type="dxa" w:w="35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val="false"/>
                <w:bCs w:val="false"/>
                <w:color w:val="000000"/>
                <w:sz w:val="18"/>
                <w:szCs w:val="18"/>
              </w:rPr>
              <w:t xml:space="preserve">Phase/Milestone rollups, task Status</w:t>
            </w:r>
          </w:p>
        </w:tc>
      </w:tr>
      <w:tr>
        <w:tc>
          <w:tcPr>
            <w:tcW w:type="dxa" w:w="22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bCs/>
                <w:color w:val="000000"/>
                <w:sz w:val="18"/>
                <w:szCs w:val="18"/>
              </w:rPr>
              <w:t xml:space="preserve">Blockers</w:t>
            </w:r>
          </w:p>
        </w:tc>
        <w:tc>
          <w:tcPr>
            <w:tcW w:type="dxa" w:w="7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center"/>
            </w:pPr>
            <w:r>
              <w:rPr>
                <w:b w:val="false"/>
                <w:bCs w:val="false"/>
                <w:color w:val="000000"/>
                <w:sz w:val="18"/>
                <w:szCs w:val="18"/>
              </w:rPr>
              <w:t xml:space="preserve">25%</w:t>
            </w:r>
          </w:p>
        </w:tc>
        <w:tc>
          <w:tcPr>
            <w:tcW w:type="dxa" w:w="44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val="false"/>
                <w:bCs w:val="false"/>
                <w:color w:val="000000"/>
                <w:sz w:val="18"/>
                <w:szCs w:val="18"/>
              </w:rPr>
              <w:t xml:space="preserve">On-Hold tasks, stalled in-progress tasks, At-Risk flags, negative float on critical tasks</w:t>
            </w:r>
          </w:p>
        </w:tc>
        <w:tc>
          <w:tcPr>
            <w:tcW w:type="dxa" w:w="35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val="false"/>
                <w:bCs w:val="false"/>
                <w:color w:val="000000"/>
                <w:sz w:val="18"/>
                <w:szCs w:val="18"/>
              </w:rPr>
              <w:t xml:space="preserve">On Hold?, At Risk?, Total Float, Critical? flags</w:t>
            </w:r>
          </w:p>
        </w:tc>
      </w:tr>
      <w:tr>
        <w:tc>
          <w:tcPr>
            <w:tcW w:type="dxa" w:w="22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bCs/>
                <w:color w:val="000000"/>
                <w:sz w:val="18"/>
                <w:szCs w:val="18"/>
              </w:rPr>
              <w:t xml:space="preserve">Stakeholder sentiment</w:t>
            </w:r>
          </w:p>
        </w:tc>
        <w:tc>
          <w:tcPr>
            <w:tcW w:type="dxa" w:w="7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center"/>
            </w:pPr>
            <w:r>
              <w:rPr>
                <w:b w:val="false"/>
                <w:bCs w:val="false"/>
                <w:color w:val="000000"/>
                <w:sz w:val="18"/>
                <w:szCs w:val="18"/>
              </w:rPr>
              <w:t xml:space="preserve">10%</w:t>
            </w:r>
          </w:p>
        </w:tc>
        <w:tc>
          <w:tcPr>
            <w:tcW w:type="dxa" w:w="44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val="false"/>
                <w:bCs w:val="false"/>
                <w:color w:val="000000"/>
                <w:sz w:val="18"/>
                <w:szCs w:val="18"/>
              </w:rPr>
              <w:t xml:space="preserve">Lexical tone of free-text PM commentary (negative vs. positive keyword balance)</w:t>
            </w:r>
          </w:p>
        </w:tc>
        <w:tc>
          <w:tcPr>
            <w:tcW w:type="dxa" w:w="35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val="false"/>
                <w:bCs w:val="false"/>
                <w:color w:val="000000"/>
                <w:sz w:val="18"/>
                <w:szCs w:val="18"/>
              </w:rPr>
              <w:t xml:space="preserve">Status Comment / Comments free text</w:t>
            </w:r>
          </w:p>
        </w:tc>
      </w:tr>
      <w:tr>
        <w:tc>
          <w:tcPr>
            <w:tcW w:type="dxa" w:w="22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bCs/>
                <w:color w:val="000000"/>
                <w:sz w:val="18"/>
                <w:szCs w:val="18"/>
              </w:rPr>
              <w:t xml:space="preserve">Critical path</w:t>
            </w:r>
          </w:p>
        </w:tc>
        <w:tc>
          <w:tcPr>
            <w:tcW w:type="dxa" w:w="7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center"/>
            </w:pPr>
            <w:r>
              <w:rPr>
                <w:b w:val="false"/>
                <w:bCs w:val="false"/>
                <w:color w:val="000000"/>
                <w:sz w:val="18"/>
                <w:szCs w:val="18"/>
              </w:rPr>
              <w:t xml:space="preserve">5%</w:t>
            </w:r>
          </w:p>
        </w:tc>
        <w:tc>
          <w:tcPr>
            <w:tcW w:type="dxa" w:w="44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val="false"/>
                <w:bCs w:val="false"/>
                <w:color w:val="000000"/>
                <w:sz w:val="18"/>
                <w:szCs w:val="18"/>
              </w:rPr>
              <w:t xml:space="preserve">Share of Critical-flagged tasks that have slipped their baseline</w:t>
            </w:r>
          </w:p>
        </w:tc>
        <w:tc>
          <w:tcPr>
            <w:tcW w:type="dxa" w:w="3500"/>
            <w:tcBorders>
              <w:top w:val="single" w:color="D9D9D9" w:sz="2"/>
              <w:left w:val="single" w:color="D9D9D9" w:sz="2"/>
              <w:bottom w:val="single" w:color="D9D9D9" w:sz="2"/>
              <w:right w:val="single" w:color="D9D9D9" w:sz="2"/>
            </w:tcBorders>
            <w:tcMar>
              <w:top w:type="dxa" w:w="60"/>
              <w:left w:type="dxa" w:w="100"/>
              <w:bottom w:type="dxa" w:w="60"/>
              <w:right w:type="dxa" w:w="100"/>
            </w:tcMar>
          </w:tcPr>
          <w:p>
            <w:pPr>
              <w:jc w:val="left"/>
            </w:pPr>
            <w:r>
              <w:rPr>
                <w:b w:val="false"/>
                <w:bCs w:val="false"/>
                <w:color w:val="000000"/>
                <w:sz w:val="18"/>
                <w:szCs w:val="18"/>
              </w:rPr>
              <w:t xml:space="preserve">Critical? flag + Variance</w:t>
            </w:r>
          </w:p>
        </w:tc>
      </w:tr>
    </w:tbl>
    <w:p>
      <w:pPr>
        <w:spacing w:after="60" w:before="160"/>
      </w:pPr>
      <w:r>
        <w:rPr>
          <w:b/>
          <w:bCs/>
          <w:color w:val="1E2761"/>
          <w:sz w:val="22"/>
          <w:szCs w:val="22"/>
        </w:rPr>
        <w:t xml:space="preserve">Score → Status, then Hard Overrides</w:t>
      </w:r>
    </w:p>
    <w:p>
      <w:pPr>
        <w:spacing w:after="60"/>
      </w:pPr>
      <w:r>
        <w:rPr>
          <w:sz w:val="19"/>
          <w:szCs w:val="19"/>
        </w:rPr>
        <w:t xml:space="preserve">Weighted scores combine into a single 0–100 composite: </w:t>
      </w:r>
      <w:r>
        <w:rPr>
          <w:b/>
          <w:bCs/>
          <w:color w:val="1E7E34"/>
          <w:sz w:val="19"/>
          <w:szCs w:val="19"/>
        </w:rPr>
        <w:t xml:space="preserve">≥ 80 → Green</w:t>
      </w:r>
      <w:r>
        <w:rPr>
          <w:sz w:val="19"/>
          <w:szCs w:val="19"/>
        </w:rPr>
        <w:t xml:space="preserve">   ·   </w:t>
      </w:r>
      <w:r>
        <w:rPr>
          <w:b/>
          <w:bCs/>
          <w:color w:val="B9770E"/>
          <w:sz w:val="19"/>
          <w:szCs w:val="19"/>
        </w:rPr>
        <w:t xml:space="preserve">60–79 → Amber</w:t>
      </w:r>
      <w:r>
        <w:rPr>
          <w:sz w:val="19"/>
          <w:szCs w:val="19"/>
        </w:rPr>
        <w:t xml:space="preserve">   ·   </w:t>
      </w:r>
      <w:r>
        <w:rPr>
          <w:b/>
          <w:bCs/>
          <w:color w:val="C0392B"/>
          <w:sz w:val="19"/>
          <w:szCs w:val="19"/>
        </w:rPr>
        <w:t xml:space="preserve">&lt; 60 → Red</w:t>
      </w:r>
      <w:r>
        <w:rPr>
          <w:sz w:val="19"/>
          <w:szCs w:val="19"/>
        </w:rPr>
        <w:t xml:space="preserve">.</w:t>
      </w:r>
    </w:p>
    <w:p>
      <w:pPr>
        <w:spacing w:after="40"/>
      </w:pPr>
      <w:r>
        <w:rPr>
          <w:sz w:val="19"/>
          <w:szCs w:val="19"/>
        </w:rPr>
        <w:t xml:space="preserve">Three override rules can only move the status down, never up — because a healthy-looking average can hide one acute, specific problem:</w:t>
      </w:r>
    </w:p>
    <w:p>
      <w:pPr>
        <w:pStyle w:val="ListParagraph"/>
        <w:numPr>
          <w:ilvl w:val="0"/>
          <w:numId w:val="1"/>
        </w:numPr>
        <w:spacing w:after="20"/>
      </w:pPr>
      <w:r>
        <w:rPr>
          <w:sz w:val="19"/>
          <w:szCs w:val="19"/>
        </w:rPr>
        <w:t xml:space="preserve">Any Critical-path task with negative schedule variance → capped at Amber.</w:t>
      </w:r>
    </w:p>
    <w:p>
      <w:pPr>
        <w:pStyle w:val="ListParagraph"/>
        <w:numPr>
          <w:ilvl w:val="0"/>
          <w:numId w:val="1"/>
        </w:numPr>
        <w:spacing w:after="20"/>
      </w:pPr>
      <w:r>
        <w:rPr>
          <w:sz w:val="19"/>
          <w:szCs w:val="19"/>
        </w:rPr>
        <w:t xml:space="preserve">Any unresolved On-Hold / blocked task → capped at Amber.</w:t>
      </w:r>
    </w:p>
    <w:p>
      <w:pPr>
        <w:pStyle w:val="ListParagraph"/>
        <w:numPr>
          <w:ilvl w:val="0"/>
          <w:numId w:val="1"/>
        </w:numPr>
        <w:spacing w:after="100"/>
      </w:pPr>
      <w:r>
        <w:rPr>
          <w:sz w:val="19"/>
          <w:szCs w:val="19"/>
        </w:rPr>
        <w:t xml:space="preserve">The active phase itself is Red (not just a past phase) → forced to Red.</w:t>
      </w:r>
    </w:p>
    <w:p>
      <w:pPr>
        <w:spacing w:after="60"/>
      </w:pPr>
      <w:r>
        <w:rPr>
          <w:b/>
          <w:bCs/>
          <w:color w:val="1E2761"/>
          <w:sz w:val="22"/>
          <w:szCs w:val="22"/>
        </w:rPr>
        <w:t xml:space="preserve">Assumptions</w:t>
      </w:r>
    </w:p>
    <w:p>
      <w:pPr>
        <w:pStyle w:val="ListParagraph"/>
        <w:numPr>
          <w:ilvl w:val="0"/>
          <w:numId w:val="1"/>
        </w:numPr>
        <w:spacing w:after="20"/>
      </w:pPr>
      <w:r>
        <w:rPr>
          <w:sz w:val="19"/>
          <w:szCs w:val="19"/>
        </w:rPr>
        <w:t xml:space="preserve">Budget/cost burn is not scored — neither sample plan contains cost data. The signal is a placeholder in the config, ready the moment a plan carries a Budget column, rather than being estimated from nothing.</w:t>
      </w:r>
    </w:p>
    <w:p>
      <w:pPr>
        <w:pStyle w:val="ListParagraph"/>
        <w:numPr>
          <w:ilvl w:val="0"/>
          <w:numId w:val="1"/>
        </w:numPr>
        <w:spacing w:after="20"/>
      </w:pPr>
      <w:r>
        <w:rPr>
          <w:sz w:val="19"/>
          <w:szCs w:val="19"/>
        </w:rPr>
        <w:t xml:space="preserve">Sentiment is a keyword-based lexical scan of free-text PM comments, not a validated survey — its influence on the score is capped and it is labeled low-confidence in every report.</w:t>
      </w:r>
    </w:p>
    <w:p>
      <w:pPr>
        <w:pStyle w:val="ListParagraph"/>
        <w:numPr>
          <w:ilvl w:val="0"/>
          <w:numId w:val="1"/>
        </w:numPr>
        <w:spacing w:after="20"/>
      </w:pPr>
      <w:r>
        <w:rPr>
          <w:sz w:val="19"/>
          <w:szCs w:val="19"/>
        </w:rPr>
        <w:t xml:space="preserve">Where a plan lacks a task-level RAG column, Schedule Health is used as a proxy; where a plan lacks a Level column, Ancestors depth is used for hierarchy. Both substitutions are logged as data-quality notes, never applied silently.</w:t>
      </w:r>
    </w:p>
    <w:p>
      <w:pPr>
        <w:pStyle w:val="ListParagraph"/>
        <w:numPr>
          <w:ilvl w:val="0"/>
          <w:numId w:val="1"/>
        </w:numPr>
        <w:spacing w:after="0"/>
      </w:pPr>
      <w:r>
        <w:rPr>
          <w:sz w:val="19"/>
          <w:szCs w:val="19"/>
        </w:rPr>
        <w:t xml:space="preserve">A Data Confidence score (0–100) accompanies every RAG status, penalizing missing required fields, so "Red with complete data" and "Red with major data gaps" are never presented identically.</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2026-07-08T15:51:20.637Z</dcterms:created>
  <dcterms:modified xsi:type="dcterms:W3CDTF">2026-07-08T15:51:20.653Z</dcterms:modified>
</cp:coreProperties>
</file>

<file path=docProps/custom.xml><?xml version="1.0" encoding="utf-8"?>
<Properties xmlns="http://schemas.openxmlformats.org/officeDocument/2006/custom-properties" xmlns:vt="http://schemas.openxmlformats.org/officeDocument/2006/docPropsVTypes"/>
</file>