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434C7E">
      <w:pPr>
        <w:pStyle w:val="ListParagraph"/>
      </w:pPr>
      <w:r>
        <w:t xml:space="preserve">Symulacje wykonano przy użyciu programu </w:t>
      </w:r>
      <w:proofErr w:type="spellStart"/>
      <w:r>
        <w:t>MultiSIM</w:t>
      </w:r>
      <w:proofErr w:type="spellEnd"/>
      <w:r>
        <w:t xml:space="preserve"> BLUE 13.0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6B5549"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FC6FC1"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8E39E2">
      <w:pPr>
        <w:pStyle w:val="Heading1"/>
      </w:pPr>
      <w:r>
        <w:t>Wyniki pomiarów</w:t>
      </w:r>
    </w:p>
    <w:p w:rsidR="00FC6FC1" w:rsidRDefault="00FC6FC1" w:rsidP="00FC6FC1">
      <w:pPr>
        <w:jc w:val="center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3C6E0E" w:rsidP="00426399">
      <w:pPr>
        <w:keepNext/>
        <w:tabs>
          <w:tab w:val="left" w:pos="1665"/>
        </w:tabs>
      </w:pPr>
      <w:r w:rsidRPr="003C6E0E">
        <w:drawing>
          <wp:inline distT="0" distB="0" distL="0" distR="0" wp14:anchorId="60E2E077" wp14:editId="74B82FD5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</m:t>
        </m:r>
        <w:bookmarkStart w:id="0" w:name="_GoBack"/>
        <w:bookmarkEnd w:id="0"/>
        <m:r>
          <w:rPr>
            <w:rFonts w:ascii="Cambria Math" w:hAnsi="Cambria Math"/>
            <w:noProof/>
            <w:lang w:eastAsia="pl-PL"/>
          </w:rPr>
          <m:t>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Default="003F3D92" w:rsidP="003F3D92">
      <w:pPr>
        <w:pStyle w:val="Heading1"/>
      </w:pPr>
      <w:r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lastRenderedPageBreak/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F87276" w:rsidRDefault="00F87276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</w:tbl>
    <w:p w:rsidR="00426399" w:rsidRDefault="000D5FB0" w:rsidP="00426399">
      <w:pPr>
        <w:keepNext/>
      </w:pPr>
      <w:r w:rsidRPr="000D5FB0">
        <w:rPr>
          <w:noProof/>
          <w:lang w:eastAsia="pl-PL"/>
        </w:rPr>
        <w:drawing>
          <wp:inline distT="0" distB="0" distL="0" distR="0" wp14:anchorId="7F194338" wp14:editId="37B551D2">
            <wp:extent cx="576072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-15,23±0,41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3F3D92" w:rsidRDefault="008037B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t>Opracowanie danych doświadczalnych – dzielnik kompensowany</w:t>
      </w:r>
    </w:p>
    <w:p w:rsidR="006F3EF8" w:rsidRPr="006F3EF8" w:rsidRDefault="000F55DF" w:rsidP="006F3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</w:t>
      </w:r>
      <w:proofErr w:type="gramStart"/>
      <w:r w:rsidR="006F3EF8" w:rsidRPr="006F3EF8">
        <w:t>wyznaczono</w:t>
      </w:r>
      <w:proofErr w:type="gramEnd"/>
      <w:r w:rsidR="006F3EF8" w:rsidRPr="006F3EF8">
        <w:t xml:space="preserve">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lastRenderedPageBreak/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F87276">
      <w:pPr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8E39E2">
      <w:pPr>
        <w:pStyle w:val="Heading1"/>
      </w:pPr>
      <w:r>
        <w:t>Dyskusja błędów, oszacowania</w:t>
      </w:r>
    </w:p>
    <w:p w:rsidR="00F87276" w:rsidRDefault="00F87276" w:rsidP="00F87276">
      <w:pPr>
        <w:rPr>
          <w:rFonts w:eastAsiaTheme="minorEastAsia"/>
        </w:rPr>
      </w:pPr>
      <w:r>
        <w:t xml:space="preserve">Przewidywane wartości nachyleń liniowych części wykresów zależności modułu transmitancji od częstotliwości dla pierwszych dwóch układów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funkcję LINEST arkusza kalkulacyjnego Gnumeric; może to jednak wynikać z niedokładności przeprowadzonych pomiarów oraz małej ilości punktów pomiarowych, do których dopasowujemy proste.</w:t>
      </w:r>
    </w:p>
    <w:p w:rsidR="00F87276" w:rsidRDefault="00F87276" w:rsidP="00F87276">
      <w:pPr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</w:t>
      </w:r>
      <w:proofErr w:type="spellStart"/>
      <w:r w:rsidR="00FE2BEE">
        <w:rPr>
          <w:rFonts w:eastAsiaTheme="minorEastAsia"/>
        </w:rPr>
        <w:t>Bode</w:t>
      </w:r>
      <w:proofErr w:type="spellEnd"/>
      <w:r w:rsidR="00FE2BEE">
        <w:rPr>
          <w:rFonts w:eastAsiaTheme="minorEastAsia"/>
        </w:rPr>
        <w:t xml:space="preserve"> </w:t>
      </w:r>
      <w:proofErr w:type="spellStart"/>
      <w:r w:rsidR="00FE2BEE">
        <w:rPr>
          <w:rFonts w:eastAsiaTheme="minorEastAsia"/>
        </w:rPr>
        <w:t>Plotter</w:t>
      </w:r>
      <w:proofErr w:type="spellEnd"/>
      <w:r w:rsidR="00FE2BEE">
        <w:rPr>
          <w:rFonts w:eastAsiaTheme="minorEastAsia"/>
        </w:rPr>
        <w:t xml:space="preserve">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F87276">
      <w:pPr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co</w:t>
      </w:r>
      <w:proofErr w:type="gramEnd"/>
      <w:r>
        <w:rPr>
          <w:rFonts w:eastAsiaTheme="minorEastAsia"/>
        </w:rPr>
        <w:t xml:space="preserve"> sugeruje, że dla częstotliwości, przy których przeprowadzono pomiary, wciąż istotne są efekty graniczne związane z niedokładnością asymptotycznej charakterystyki pomijającej nieliniową zależność transmitancji od częstotliwości w rejonie „kolanka” przy częstotliwości granicznej.</w:t>
      </w:r>
    </w:p>
    <w:p w:rsidR="00FE2BEE" w:rsidRDefault="00FE2BEE" w:rsidP="00F87276">
      <w:pPr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F87276">
      <w:r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rzeczywistości, jak pokazuje </w:t>
      </w:r>
      <w:proofErr w:type="spellStart"/>
      <w:r w:rsidR="00FE2BEE">
        <w:t>Bode</w:t>
      </w:r>
      <w:proofErr w:type="spellEnd"/>
      <w:r w:rsidR="00FE2BEE">
        <w:t xml:space="preserve"> </w:t>
      </w:r>
      <w:proofErr w:type="spellStart"/>
      <w:r w:rsidR="00FE2BEE">
        <w:t>Plotter</w:t>
      </w:r>
      <w:proofErr w:type="spellEnd"/>
      <w:r w:rsidR="00FE2BEE">
        <w:t xml:space="preserve">, </w:t>
      </w:r>
      <w:r>
        <w:t xml:space="preserve">dla układu eksperymentalnego </w:t>
      </w:r>
      <w:r w:rsidR="00FE2BEE">
        <w:t xml:space="preserve">wzmocnienie ma pewien niewielki skok przy </w:t>
      </w:r>
      <w:r w:rsidR="00FE2BEE">
        <w:lastRenderedPageBreak/>
        <w:t xml:space="preserve">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stałym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Wnioski</w:t>
      </w:r>
    </w:p>
    <w:p w:rsidR="00575A68" w:rsidRDefault="00575A68" w:rsidP="00575A68">
      <w:r>
        <w:t xml:space="preserve">Przeprowadzone pomiary potwierdzają poprawność przewidywań teoretycznych dla filtrów </w:t>
      </w:r>
      <w:proofErr w:type="spellStart"/>
      <w:r>
        <w:t>górno</w:t>
      </w:r>
      <w:proofErr w:type="spellEnd"/>
      <w:r>
        <w:t xml:space="preserve">- i dolnoprzepustowych. </w:t>
      </w:r>
    </w:p>
    <w:p w:rsidR="00575A68" w:rsidRDefault="00575A68" w:rsidP="00575A68">
      <w:r>
        <w:t>Płytka prototypowa ELVIS, z możliwością jej obsługi przy użyciu komputera, znacznie ułatwia pracę w laboratorium elektroniki.</w:t>
      </w:r>
    </w:p>
    <w:p w:rsidR="00575A68" w:rsidRPr="00575A68" w:rsidRDefault="00575A68" w:rsidP="00575A68">
      <w:r>
        <w:t xml:space="preserve">Kompensacja pojemnościowa okazuje się być bardzo skutecznym narzędziem – jak pokazuje symulacja przeprowadzona w </w:t>
      </w:r>
      <w:proofErr w:type="spellStart"/>
      <w:r>
        <w:t>MultiSIMie</w:t>
      </w:r>
      <w:proofErr w:type="spellEnd"/>
      <w:r>
        <w:t>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sectPr w:rsidR="00575A68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DF" w:rsidRDefault="000F55DF" w:rsidP="008754E0">
      <w:pPr>
        <w:spacing w:after="0" w:line="240" w:lineRule="auto"/>
      </w:pPr>
      <w:r>
        <w:separator/>
      </w:r>
    </w:p>
  </w:endnote>
  <w:endnote w:type="continuationSeparator" w:id="0">
    <w:p w:rsidR="000F55DF" w:rsidRDefault="000F55DF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276" w:rsidRDefault="00F87276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E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7276" w:rsidRDefault="00F87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DF" w:rsidRDefault="000F55DF" w:rsidP="008754E0">
      <w:pPr>
        <w:spacing w:after="0" w:line="240" w:lineRule="auto"/>
      </w:pPr>
      <w:r>
        <w:separator/>
      </w:r>
    </w:p>
  </w:footnote>
  <w:footnote w:type="continuationSeparator" w:id="0">
    <w:p w:rsidR="000F55DF" w:rsidRDefault="000F55DF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0D5FB0"/>
    <w:rsid w:val="000F55DF"/>
    <w:rsid w:val="001C15D3"/>
    <w:rsid w:val="001D3043"/>
    <w:rsid w:val="00207047"/>
    <w:rsid w:val="002141F7"/>
    <w:rsid w:val="0024150A"/>
    <w:rsid w:val="003001C6"/>
    <w:rsid w:val="003C6E0E"/>
    <w:rsid w:val="003F3D92"/>
    <w:rsid w:val="00426399"/>
    <w:rsid w:val="00434C7E"/>
    <w:rsid w:val="00575A68"/>
    <w:rsid w:val="006B5549"/>
    <w:rsid w:val="006F3EF8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E44963"/>
    <w:rsid w:val="00F12D35"/>
    <w:rsid w:val="00F34C3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3FA2-28E5-4679-918B-B7B862D8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1610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24</cp:revision>
  <dcterms:created xsi:type="dcterms:W3CDTF">2015-03-04T20:02:00Z</dcterms:created>
  <dcterms:modified xsi:type="dcterms:W3CDTF">2015-03-10T16:53:00Z</dcterms:modified>
</cp:coreProperties>
</file>