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Information Security Policy</w:t>
      </w:r>
    </w:p>
    <w:p>
      <w:r>
        <w:t xml:space="preserve">Document owner: IT Security. Last updated: January 2026.</w:t>
      </w:r>
    </w:p>
    <w:p/>
    <w:p>
      <w:pPr>
        <w:pStyle w:val="Heading1"/>
      </w:pPr>
      <w:r>
        <w:t xml:space="preserve">1. Security Training</w:t>
      </w:r>
    </w:p>
    <w:p>
      <w:r>
        <w:t xml:space="preserve">All employees must complete security training annually. New hires must complete the training within their first 30 days of employment.</w:t>
      </w:r>
    </w:p>
    <w:p/>
    <w:p>
      <w:pPr>
        <w:pStyle w:val="Heading1"/>
      </w:pPr>
      <w:r>
        <w:t xml:space="preserve">2. Physical Access Control</w:t>
      </w:r>
    </w:p>
    <w:p>
      <w:r>
        <w:t xml:space="preserve">Badge access is required for all server room entry. Visitors must be escorted by an authorized employee at all times while in restricted areas.</w:t>
      </w:r>
    </w:p>
    <w:p/>
    <w:p>
      <w:pPr>
        <w:pStyle w:val="Heading1"/>
      </w:pPr>
      <w:r>
        <w:t xml:space="preserve">3. Password Requirements</w:t>
      </w:r>
    </w:p>
    <w:p>
      <w:r>
        <w:t xml:space="preserve">All corporate accounts must use multi-factor authentication. Passwords must be rotated every 90 days and must not be reused across the last 5 passwords.</w:t>
      </w:r>
    </w:p>
    <w:p/>
    <w:p>
      <w:pPr>
        <w:pStyle w:val="Heading1"/>
      </w:pPr>
      <w:r>
        <w:t xml:space="preserve">4. Incident Reporting</w:t>
      </w:r>
    </w:p>
    <w:p>
      <w:r>
        <w:t xml:space="preserve">Suspected security incidents, including lost badges or phishing attempts, must be reported to the IT Security team immediately.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2026-09-08T05:06:03.014Z</dcterms:created>
  <dcterms:modified xsi:type="dcterms:W3CDTF">2026-09-08T05:06:03.026Z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