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2"/>
        </w:rPr>
        <w:t>Copyright and Disclaim</w:t>
      </w:r>
      <w:r>
        <w:rPr>
          <w:rFonts w:ascii="" w:hAnsi="" w:cs="" w:eastAsia=""/>
          <w:b w:val="true"/>
          <w:i w:val="false"/>
          <w:strike w:val="false"/>
          <w:color w:val=""/>
          <w:sz w:val="22"/>
        </w:rPr>
        <w:t>er</w:t>
      </w:r>
    </w:p>
    <w:p>
      <w:pPr>
        <w:pStyle w:val=""/>
        <w:jc w:val="left"/>
      </w:pPr>
      <w:r>
        <w:rPr>
          <w:rFonts w:ascii="" w:hAnsi="" w:cs="" w:eastAsia=""/>
          <w:b w:val="false"/>
          <w:i w:val="false"/>
          <w:strike w:val="false"/>
          <w:color w:val=""/>
          <w:sz w:val="22"/>
        </w:rPr>
        <w:t>The State of South Carolina owns the copyright to the Code of Laws of South Carolina, 1976, as contained herein.  Any use of the text, section headings, or catchlines of the 1976 Code is subject to the terms of federal copyright a</w:t>
      </w:r>
      <w:r>
        <w:rPr>
          <w:rFonts w:ascii="" w:hAnsi="" w:cs="" w:eastAsia=""/>
          <w:b w:val="false"/>
          <w:i w:val="false"/>
          <w:strike w:val="false"/>
          <w:color w:val=""/>
          <w:sz w:val="22"/>
        </w:rPr>
        <w:t xml:space="preserve">nd other applicable laws and such text, section headings, or catchlines may not be reproduced in whole or in part in any form or for inclusion in any material which is offered for sale or lease without the express written permission of the Chairman of the </w:t>
      </w:r>
      <w:r>
        <w:rPr>
          <w:rFonts w:ascii="" w:hAnsi="" w:cs="" w:eastAsia=""/>
          <w:b w:val="false"/>
          <w:i w:val="false"/>
          <w:strike w:val="false"/>
          <w:color w:val=""/>
          <w:sz w:val="22"/>
        </w:rPr>
        <w:t>South Carolina Legislative Council or the Code Commissioner of South Carolina.</w:t>
      </w:r>
    </w:p>
    <w:p>
      <w:pPr>
        <w:pStyle w:val=""/>
        <w:jc w:val="left"/>
      </w:pPr>
      <w:r>
        <w:rPr>
          <w:rFonts w:ascii="" w:hAnsi="" w:cs="" w:eastAsia=""/>
          <w:b w:val="false"/>
          <w:i w:val="false"/>
          <w:strike w:val="false"/>
          <w:color w:val=""/>
          <w:sz w:val="22"/>
        </w:rPr>
        <w:t>This statutory database is current through the 2001 Regular Session and the 2001 Extra Session of the South Carolina General Assembly.  Changes to the statutes enacted by the 2</w:t>
      </w:r>
      <w:r>
        <w:rPr>
          <w:rFonts w:ascii="" w:hAnsi="" w:cs="" w:eastAsia=""/>
          <w:b w:val="false"/>
          <w:i w:val="false"/>
          <w:strike w:val="false"/>
          <w:color w:val=""/>
          <w:sz w:val="22"/>
        </w:rPr>
        <w:t>002 General Assembly, which will convene in January 2002, will be incorporated as soon as possible.  Some changes enacted by the 2002 General Assembly may take immediate effect.  The State of South Carolina and the South Carolina Legislative Council make n</w:t>
      </w:r>
      <w:r>
        <w:rPr>
          <w:rFonts w:ascii="" w:hAnsi="" w:cs="" w:eastAsia=""/>
          <w:b w:val="false"/>
          <w:i w:val="false"/>
          <w:strike w:val="false"/>
          <w:color w:val=""/>
          <w:sz w:val="22"/>
        </w:rPr>
        <w:t>o warranty as to the accuracy of the data, and users rely on the data entirely at their own risk.</w:t>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xml:space="preserve"> purposes by contacting the Legislative Council or the office of Legislative Printing, Information and Technology Systems.</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jc w:val="center"/>
      </w:pPr>
    </w:p>
    <w:p>
      <w:r>
        <w:drawing>
          <wp:inline distT="0" distB="0" distL="0" distR="0">
            <wp:extent cx="9753600" cy="7315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9753600" cy="7315200"/>
                    </a:xfrm>
                    <a:prstGeom prst="rect">
                      <a:avLst/>
                    </a:prstGeom>
                  </pic:spPr>
                </pic:pic>
              </a:graphicData>
            </a:graphic>
          </wp:inline>
        </w:drawing>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2018-01-15T06:48:58Z</dcterms:created>
  <dc:creator>Apache POI</dc:creator>
</cp:coreProperties>
</file>