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RELATING TO PUBLIC PARKS.</w:t>
      </w:r>
    </w:p>
    <w:p>
      <w:pPr>
        <w:pStyle w:val=""/>
        <w:jc w:val="left"/>
      </w:pPr>
      <w:r>
        <w:rPr>
          <w:rFonts w:ascii="" w:hAnsi="" w:cs="" w:eastAsia=""/>
          <w:b w:val="false"/>
          <w:i w:val="false"/>
          <w:strike w:val="false"/>
          <w:color w:val=""/>
        </w:rPr>
        <w:t>BE IT ORDAINED by the People of the City and County of Honolulu:</w:t>
      </w:r>
    </w:p>
    <w:p>
      <w:pPr>
        <w:pStyle w:val=""/>
        <w:jc w:val="left"/>
      </w:pPr>
      <w:r>
        <w:rPr>
          <w:rFonts w:ascii="" w:hAnsi="" w:cs="" w:eastAsia=""/>
          <w:b w:val="false"/>
          <w:i w:val="false"/>
          <w:strike w:val="false"/>
          <w:color w:val=""/>
        </w:rPr>
        <w:t xml:space="preserve">SECTION 1.  Purpose. </w:t>
      </w:r>
      <w:r>
        <w:rPr>
          <w:rFonts w:ascii="" w:hAnsi="" w:cs="" w:eastAsia=""/>
          <w:b w:val="false"/>
          <w:i w:val="false"/>
          <w:strike w:val="false"/>
          <w:color w:val=""/>
        </w:rPr>
        <w:t>The purpose of this ordinance is to define camping.</w:t>
      </w:r>
    </w:p>
    <w:p>
      <w:pPr>
        <w:pStyle w:val=""/>
        <w:jc w:val="left"/>
      </w:pPr>
      <w:r>
        <w:rPr>
          <w:rFonts w:ascii="" w:hAnsi="" w:cs="" w:eastAsia=""/>
          <w:b w:val="false"/>
          <w:i w:val="false"/>
          <w:strike w:val="false"/>
          <w:color w:val=""/>
        </w:rPr>
        <w:t>SECTION 2.  Section 10-1.1, Revised Ordinances of Honolulu 1990, as amended, is further amended to read as follows:</w:t>
      </w:r>
    </w:p>
    <w:p>
      <w:pPr>
        <w:pStyle w:val="NormalWeb"/>
        <w:jc w:val="left"/>
      </w:pPr>
      <w:r>
        <w:rPr>
          <w:rFonts w:ascii="Arial" w:hAnsi="Arial" w:cs="Arial" w:eastAsia="Arial"/>
          <w:b w:val="false"/>
          <w:i w:val="false"/>
          <w:strike w:val="false"/>
          <w:color w:val=""/>
        </w:rPr>
        <w:t>“</w:t>
      </w:r>
      <w:r>
        <w:rPr>
          <w:rFonts w:ascii="Arial" w:hAnsi="Arial" w:cs="Arial" w:eastAsia="Arial"/>
          <w:b w:val="true"/>
          <w:i w:val="false"/>
          <w:strike w:val="false"/>
          <w:color w:val=""/>
        </w:rPr>
        <w:t>Sec. 10-1.1</w:t>
      </w:r>
      <w:r>
        <w:rPr>
          <w:rFonts w:ascii="Arial" w:hAnsi="Arial" w:cs="Arial" w:eastAsia="Arial"/>
          <w:b w:val="true"/>
          <w:i w:val="false"/>
          <w:strike w:val="false"/>
          <w:color w:val=""/>
        </w:rPr>
        <w:t>Definitions.</w:t>
      </w:r>
    </w:p>
    <w:p>
      <w:pPr>
        <w:pStyle w:val=""/>
        <w:jc w:val="left"/>
      </w:pPr>
      <w:r>
        <w:rPr>
          <w:rFonts w:ascii="" w:hAnsi="" w:cs="" w:eastAsia=""/>
          <w:b w:val="false"/>
          <w:i w:val="false"/>
          <w:strike w:val="false"/>
          <w:color w:val=""/>
        </w:rPr>
        <w:t>“Camp” or “camping” means the use and occupation of a public park as a temporary or permanent dwelling place or sleeping place between the hours of 10:00 p.m. and 5:00 a.m.</w:t>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jc w:val="center"/>
      </w:pPr>
    </w:p>
    <w:p>
      <w:r>
        <w:drawing>
          <wp:inline distT="0" distB="0" distL="0" distR="0">
            <wp:extent cx="4762500" cy="31432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762500" cy="3143250"/>
                    </a:xfrm>
                    <a:prstGeom prst="rect">
                      <a:avLst/>
                    </a:prstGeom>
                  </pic:spPr>
                </pic:pic>
              </a:graphicData>
            </a:graphic>
          </wp:inline>
        </w:drawing>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2018-01-14T17:21:55Z</dcterms:created>
  <dc:creator>Apache POI</dc:creator>
</cp:coreProperties>
</file>