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left"/>
      </w:pPr>
    </w:p>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 spraying, fumigating,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or otherwise having control of the property, including the guardian of the estate of any such person, and the executor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 any structure, which 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two (2) years, to demolish and remove such structure.</w:t>
      </w:r>
    </w:p>
    <w:p>
      <w:pPr>
        <w:pStyle w:val=""/>
        <w:jc w:val="both"/>
      </w:pPr>
      <w:r>
        <w:rPr>
          <w:rFonts w:ascii="" w:hAnsi="" w:cs="" w:eastAsia=""/>
          <w:b w:val="false"/>
          <w:i w:val="false"/>
          <w:strike w:val="false"/>
          <w:color w:val=""/>
        </w:rPr>
        <w:t>If repair, alteration or improvement of the structure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interest in such dwelling, rooming house or building, as shown by the</w:t>
      </w:r>
      <w:r>
        <w:rPr>
          <w:rFonts w:ascii="" w:hAnsi="" w:cs="" w:eastAsia=""/>
          <w:b w:val="false"/>
          <w:i w:val="false"/>
          <w:strike w:val="false"/>
          <w:color w:val=""/>
        </w:rPr>
        <w:t xml:space="preserve"> public records, to repair or demolish any dwelling or rooming house found to be unfit for human habitation or any building found to be a dangerous building within the terms and provisions of this Article; provided that, any person so notified shall have t</w:t>
      </w:r>
      <w:r>
        <w:rPr>
          <w:rFonts w:ascii="" w:hAnsi="" w:cs="" w:eastAsia=""/>
          <w:b w:val="false"/>
          <w:i w:val="false"/>
          <w:strike w:val="false"/>
          <w:color w:val=""/>
        </w:rPr>
        <w:t>he privilege of either repairing such dwelling, rooming house or building or may demolish such dwelling, rooming house or building at his own risk to prevent the acquiring of a lien against the land upon which the dwelling, rooming house or building stands</w:t>
      </w:r>
      <w:r>
        <w:rPr>
          <w:rFonts w:ascii="" w:hAnsi="" w:cs="" w:eastAsia=""/>
          <w:b w:val="false"/>
          <w:i w:val="false"/>
          <w:strike w:val="false"/>
          <w:color w:val=""/>
        </w:rPr>
        <w:t xml:space="preserve"> by the City, as provided in subsection (5) of this Section.</w:t>
      </w:r>
    </w:p>
    <w:p>
      <w:pPr>
        <w:pStyle w:val=""/>
        <w:jc w:val="both"/>
      </w:pPr>
      <w:r>
        <w:rPr>
          <w:rFonts w:ascii="" w:hAnsi="" w:cs="" w:eastAsia=""/>
          <w:b w:val="false"/>
          <w:i w:val="false"/>
          <w:strike w:val="false"/>
          <w:color w:val=""/>
        </w:rPr>
        <w:t>(5)</w:t>
      </w:r>
      <w:r>
        <w:rPr>
          <w:rFonts w:ascii="" w:hAnsi="" w:cs="" w:eastAsia=""/>
          <w:b w:val="false"/>
          <w:i w:val="false"/>
          <w:strike w:val="false"/>
          <w:color w:val=""/>
        </w:rPr>
        <w:t>If the owner, occupant, mortgagee, lessee or agent fails to comply with a lawful order provided for in subsection (4) of this Section within ten (10) days, public officer shall cause such dw</w:t>
      </w:r>
      <w:r>
        <w:rPr>
          <w:rFonts w:ascii="" w:hAnsi="" w:cs="" w:eastAsia=""/>
          <w:b w:val="false"/>
          <w:i w:val="false"/>
          <w:strike w:val="false"/>
          <w:color w:val=""/>
        </w:rPr>
        <w:t>elling or rooming house or building to be repaired or demolished, as the facts may warrant, under the criteria provided in Section 21-</w:t>
      </w:r>
      <w:r>
        <w:rPr>
          <w:rFonts w:ascii="" w:hAnsi="" w:cs="" w:eastAsia=""/>
          <w:b w:val="false"/>
          <w:i w:val="false"/>
          <w:strike w:val="false"/>
          <w:color w:val=""/>
        </w:rPr>
        <w:t xml:space="preserve">12 </w:t>
      </w:r>
      <w:r>
        <w:rPr>
          <w:rFonts w:ascii="" w:hAnsi="" w:cs="" w:eastAsia=""/>
          <w:b w:val="false"/>
          <w:i w:val="false"/>
          <w:strike w:val="false"/>
          <w:color w:val=""/>
        </w:rPr>
        <w:t>of this Code.  If after proper notice and a hearing in accordance with T.C.A. § 13-21-103, the public officer finds</w:t>
      </w:r>
      <w:r>
        <w:rPr>
          <w:rFonts w:ascii="" w:hAnsi="" w:cs="" w:eastAsia=""/>
          <w:b w:val="false"/>
          <w:i w:val="false"/>
          <w:strike w:val="false"/>
          <w:color w:val=""/>
        </w:rPr>
        <w:t xml:space="preserve"> that the structure under consideration is unfit for human occupation or use, they shall state in writing their findings of fact in support of such determination and shall issue and cause to be served upon the owner thereof an order:</w:t>
      </w:r>
    </w:p>
    <w:p>
      <w:pPr>
        <w:pStyle w:val=""/>
        <w:jc w:val="both"/>
      </w:pPr>
      <w:r>
        <w:rPr>
          <w:rFonts w:ascii="" w:hAnsi="" w:cs="" w:eastAsia=""/>
          <w:b w:val="false"/>
          <w:i w:val="false"/>
          <w:strike w:val="false"/>
          <w:color w:val=""/>
        </w:rPr>
        <w:t>(a)</w:t>
      </w:r>
      <w:r>
        <w:rPr>
          <w:rFonts w:ascii="" w:hAnsi="" w:cs="" w:eastAsia=""/>
          <w:b w:val="false"/>
          <w:i w:val="false"/>
          <w:strike w:val="false"/>
          <w:color w:val=""/>
        </w:rPr>
        <w:t>If the repair, al</w:t>
      </w:r>
      <w:r>
        <w:rPr>
          <w:rFonts w:ascii="" w:hAnsi="" w:cs="" w:eastAsia=""/>
          <w:b w:val="false"/>
          <w:i w:val="false"/>
          <w:strike w:val="false"/>
          <w:color w:val=""/>
        </w:rPr>
        <w:t>teration or improvement of the structure can be made at a reasonable cost which is less than 50% of the value of the structure, the owner shall be required within the time specified in the order, to repair, alter, or improve such structure to render it fit</w:t>
      </w:r>
      <w:r>
        <w:rPr>
          <w:rFonts w:ascii="" w:hAnsi="" w:cs="" w:eastAsia=""/>
          <w:b w:val="false"/>
          <w:i w:val="false"/>
          <w:strike w:val="false"/>
          <w:color w:val=""/>
        </w:rPr>
        <w:t xml:space="preserve"> for human occupation or use or to vacate and close the structure as a place of human occupation or use.  Prior to reoccupying the premises, the owner shall obtain a certificate of occupancy from the </w:t>
      </w:r>
      <w:r>
        <w:rPr>
          <w:rFonts w:ascii="" w:hAnsi="" w:cs="" w:eastAsia=""/>
          <w:b w:val="true"/>
          <w:i w:val="false"/>
          <w:strike w:val="false"/>
          <w:color w:val=""/>
        </w:rPr>
        <w:t>Code Official</w:t>
      </w:r>
      <w:r>
        <w:rPr>
          <w:rFonts w:ascii="" w:hAnsi="" w:cs="" w:eastAsia=""/>
          <w:b w:val="false"/>
          <w:i w:val="false"/>
          <w:strike w:val="false"/>
          <w:color w:val=""/>
        </w:rPr>
        <w:t>.  It shall be illegal for a</w:t>
      </w:r>
      <w:r>
        <w:rPr>
          <w:rFonts w:ascii="" w:hAnsi="" w:cs="" w:eastAsia=""/>
          <w:b w:val="false"/>
          <w:i w:val="false"/>
          <w:strike w:val="false"/>
          <w:color w:val=""/>
        </w:rPr>
        <w:t xml:space="preserve">ny person to reoccupy a structure found unfit for human occupation or use without first obtaining a certificate of occupancy from the </w:t>
      </w:r>
      <w:r>
        <w:rPr>
          <w:rFonts w:ascii="" w:hAnsi="" w:cs="" w:eastAsia=""/>
          <w:b w:val="true"/>
          <w:i w:val="false"/>
          <w:strike w:val="false"/>
          <w:color w:val=""/>
        </w:rPr>
        <w:t>Code Official</w:t>
      </w:r>
      <w:r>
        <w:rPr>
          <w:rFonts w:ascii="" w:hAnsi="" w:cs="" w:eastAsia=""/>
          <w:b w:val="true"/>
          <w:i w:val="false"/>
          <w:strike w:val="false"/>
          <w:color w:val=""/>
        </w:rPr>
        <w:t>,</w:t>
      </w:r>
      <w:r>
        <w:rPr>
          <w:rFonts w:ascii="" w:hAnsi="" w:cs="" w:eastAsia=""/>
          <w:b w:val="false"/>
          <w:i w:val="false"/>
          <w:strike w:val="false"/>
          <w:color w:val=""/>
        </w:rPr>
        <w:t xml:space="preserve">  or,</w:t>
      </w:r>
    </w:p>
    <w:p>
      <w:pPr>
        <w:pStyle w:val=""/>
        <w:jc w:val="both"/>
      </w:pPr>
      <w:r>
        <w:rPr>
          <w:rFonts w:ascii="" w:hAnsi="" w:cs="" w:eastAsia=""/>
          <w:b w:val="false"/>
          <w:i w:val="false"/>
          <w:strike w:val="false"/>
          <w:color w:val=""/>
        </w:rPr>
        <w:t>(b)</w:t>
      </w:r>
      <w:r>
        <w:rPr>
          <w:rFonts w:ascii="" w:hAnsi="" w:cs="" w:eastAsia=""/>
          <w:b w:val="false"/>
          <w:i w:val="false"/>
          <w:strike w:val="false"/>
          <w:color w:val=""/>
        </w:rPr>
        <w:t>If the repair, alteration or improvement of the structure cannot be made at a rea</w:t>
      </w:r>
      <w:r>
        <w:rPr>
          <w:rFonts w:ascii="" w:hAnsi="" w:cs="" w:eastAsia=""/>
          <w:b w:val="false"/>
          <w:i w:val="false"/>
          <w:strike w:val="false"/>
          <w:color w:val=""/>
        </w:rPr>
        <w:t xml:space="preserve">sonable cost which is less than 50% </w:t>
      </w:r>
      <w:r>
        <w:rPr>
          <w:rFonts w:ascii="" w:hAnsi="" w:cs="" w:eastAsia=""/>
          <w:b w:val="false"/>
          <w:i w:val="false"/>
          <w:strike w:val="false"/>
          <w:color w:val=""/>
        </w:rPr>
        <w:t>of the value of the structure, the owner may be required, within the time specified in the order, to remove or demolish such structure; or</w:t>
      </w:r>
    </w:p>
    <w:p>
      <w:pPr>
        <w:pStyle w:val=""/>
        <w:jc w:val="both"/>
      </w:pPr>
      <w:r>
        <w:rPr>
          <w:rFonts w:ascii="" w:hAnsi="" w:cs="" w:eastAsia=""/>
          <w:b w:val="false"/>
          <w:i w:val="false"/>
          <w:strike w:val="false"/>
          <w:color w:val=""/>
        </w:rPr>
        <w:t>(c)</w:t>
      </w:r>
      <w:r>
        <w:rPr>
          <w:rFonts w:ascii="" w:hAnsi="" w:cs="" w:eastAsia=""/>
          <w:b w:val="false"/>
          <w:i w:val="false"/>
          <w:strike w:val="false"/>
          <w:color w:val=""/>
        </w:rPr>
        <w:t>That the amount of the cost of such repairs, alterations or improvements, or</w:t>
      </w:r>
      <w:r>
        <w:rPr>
          <w:rFonts w:ascii="" w:hAnsi="" w:cs="" w:eastAsia=""/>
          <w:b w:val="false"/>
          <w:i w:val="false"/>
          <w:strike w:val="false"/>
          <w:color w:val=""/>
        </w:rPr>
        <w:t xml:space="preserve"> vacating and closing, or removal or demolition by the Public officer shall, upon the filing of a notice with the office of the Register of Deeds of the county in which the property lies, be assessed as a municipal lien on the property in favor of the muni</w:t>
      </w:r>
      <w:r>
        <w:rPr>
          <w:rFonts w:ascii="" w:hAnsi="" w:cs="" w:eastAsia=""/>
          <w:b w:val="false"/>
          <w:i w:val="false"/>
          <w:strike w:val="false"/>
          <w:color w:val=""/>
        </w:rPr>
        <w:t>cipality, second only to liens of the state, county and municipality for taxes, any lien of the municipality for special assessments and any valid lien, right or interest in such property duly recorded or duly perfected by filing prior to the filing of suc</w:t>
      </w:r>
      <w:r>
        <w:rPr>
          <w:rFonts w:ascii="" w:hAnsi="" w:cs="" w:eastAsia=""/>
          <w:b w:val="false"/>
          <w:i w:val="false"/>
          <w:strike w:val="false"/>
          <w:color w:val=""/>
        </w:rPr>
        <w:t>h notice in accordance with T.C.A. § 13-21-103(6).  This cost shall be placed upon the tax rolls of the municipality as a lien and shall be added to the property tax bills to be collected at the same time and in the same manner as property taxes are collec</w:t>
      </w:r>
      <w:r>
        <w:rPr>
          <w:rFonts w:ascii="" w:hAnsi="" w:cs="" w:eastAsia=""/>
          <w:b w:val="false"/>
          <w:i w:val="false"/>
          <w:strike w:val="false"/>
          <w:color w:val=""/>
        </w:rPr>
        <w:t>ted.  If the owner fails to pay the costs, they may be collected at the same time and in the same manner as delinquent property taxes are collected and shall be subject to the same penalty and interest as delinquent property taxes; or</w:t>
      </w:r>
    </w:p>
    <w:p>
      <w:pPr>
        <w:pStyle w:val=""/>
        <w:jc w:val="both"/>
      </w:pPr>
      <w:r>
        <w:rPr>
          <w:rFonts w:ascii="" w:hAnsi="" w:cs="" w:eastAsia=""/>
          <w:b w:val="false"/>
          <w:i w:val="false"/>
          <w:strike w:val="false"/>
          <w:color w:val=""/>
        </w:rPr>
        <w:t>(d)</w:t>
      </w:r>
      <w:r>
        <w:rPr>
          <w:rFonts w:ascii="" w:hAnsi="" w:cs="" w:eastAsia=""/>
          <w:b w:val="false"/>
          <w:i w:val="false"/>
          <w:strike w:val="false"/>
          <w:color w:val=""/>
        </w:rPr>
        <w:t>If the structure</w:t>
      </w:r>
      <w:r>
        <w:rPr>
          <w:rFonts w:ascii="" w:hAnsi="" w:cs="" w:eastAsia=""/>
          <w:b w:val="false"/>
          <w:i w:val="false"/>
          <w:strike w:val="false"/>
          <w:color w:val=""/>
        </w:rPr>
        <w:t xml:space="preserve"> is removed or demolished by the public officer, it shall sell the materials of such structure and shall credit the proceeds of such sale against the cost of the removal or demolition, and any balance remaining shall be deposited in the Chancery Court by t</w:t>
      </w:r>
      <w:r>
        <w:rPr>
          <w:rFonts w:ascii="" w:hAnsi="" w:cs="" w:eastAsia=""/>
          <w:b w:val="false"/>
          <w:i w:val="false"/>
          <w:strike w:val="false"/>
          <w:color w:val=""/>
        </w:rPr>
        <w:t>he public officer and shall be secured in such manner as may be directed by that Court, and shall be disbursed by that Court to the person found to be entitled thereto by final order of decree of such court; or</w:t>
      </w:r>
    </w:p>
    <w:p>
      <w:pPr>
        <w:pStyle w:val=""/>
        <w:jc w:val="both"/>
      </w:pPr>
      <w:r>
        <w:rPr>
          <w:rFonts w:ascii="" w:hAnsi="" w:cs="" w:eastAsia=""/>
          <w:b w:val="false"/>
          <w:i w:val="false"/>
          <w:strike w:val="false"/>
          <w:color w:val=""/>
        </w:rPr>
        <w:t>(e)</w:t>
      </w:r>
      <w:r>
        <w:rPr>
          <w:rFonts w:ascii="" w:hAnsi="" w:cs="" w:eastAsia=""/>
          <w:b w:val="false"/>
          <w:i w:val="false"/>
          <w:strike w:val="false"/>
          <w:color w:val=""/>
        </w:rPr>
        <w:t>The proceeds of all demolitions of housi</w:t>
      </w:r>
      <w:r>
        <w:rPr>
          <w:rFonts w:ascii="" w:hAnsi="" w:cs="" w:eastAsia=""/>
          <w:b w:val="false"/>
          <w:i w:val="false"/>
          <w:strike w:val="false"/>
          <w:color w:val=""/>
        </w:rPr>
        <w:t>ng in the City of Chattanooga after collection by the Back Tax Attorney shall be placed in an account which shall be utilized to sustain continuing demolition of substandard housing in the City.</w:t>
      </w:r>
    </w:p>
    <w:p>
      <w:pPr>
        <w:pStyle w:val=""/>
        <w:jc w:val="both"/>
      </w:pPr>
      <w:r>
        <w:rPr>
          <w:rFonts w:ascii="" w:hAnsi="" w:cs="" w:eastAsia=""/>
          <w:b w:val="false"/>
          <w:i w:val="false"/>
          <w:strike w:val="false"/>
          <w:color w:val=""/>
        </w:rPr>
        <w:t>6)</w:t>
      </w:r>
      <w:r>
        <w:rPr>
          <w:rFonts w:ascii="" w:hAnsi="" w:cs="" w:eastAsia=""/>
          <w:b w:val="false"/>
          <w:i w:val="false"/>
          <w:strike w:val="false"/>
          <w:color w:val=""/>
        </w:rPr>
        <w:t xml:space="preserve">Report to the City Attorney the names of all persons not </w:t>
      </w:r>
      <w:r>
        <w:rPr>
          <w:rFonts w:ascii="" w:hAnsi="" w:cs="" w:eastAsia=""/>
          <w:b w:val="false"/>
          <w:i w:val="false"/>
          <w:strike w:val="false"/>
          <w:color w:val=""/>
        </w:rPr>
        <w:t>complying with the order provided for in subsection (4) of this Section.</w:t>
      </w:r>
    </w:p>
    <w:p>
      <w:pPr>
        <w:pStyle w:val=""/>
        <w:jc w:val="both"/>
      </w:pPr>
      <w:r>
        <w:rPr>
          <w:rFonts w:ascii="" w:hAnsi="" w:cs="" w:eastAsia=""/>
          <w:b w:val="true"/>
          <w:i w:val="false"/>
          <w:strike w:val="false"/>
          <w:color w:val=""/>
        </w:rPr>
        <w:t>Sec. 21-9.</w:t>
      </w:r>
      <w:r>
        <w:rPr>
          <w:rFonts w:ascii="" w:hAnsi="" w:cs="" w:eastAsia=""/>
          <w:b w:val="true"/>
          <w:i w:val="false"/>
          <w:strike w:val="false"/>
          <w:color w:val=""/>
        </w:rPr>
        <w:t>Emergency measures.</w:t>
      </w:r>
    </w:p>
    <w:p>
      <w:pPr>
        <w:pStyle w:val=""/>
        <w:jc w:val="both"/>
      </w:pPr>
      <w:r>
        <w:rPr>
          <w:rFonts w:ascii="" w:hAnsi="" w:cs="" w:eastAsia=""/>
          <w:b w:val="false"/>
          <w:i w:val="false"/>
          <w:strike w:val="false"/>
          <w:color w:val=""/>
        </w:rPr>
        <w:t>Imminent danger</w:t>
      </w:r>
      <w:r>
        <w:rPr>
          <w:rFonts w:ascii="" w:hAnsi="" w:cs="" w:eastAsia=""/>
          <w:b w:val="false"/>
          <w:i w:val="false"/>
          <w:strike w:val="false"/>
          <w:color w:val=""/>
        </w:rPr>
        <w:t>.  When, in the opinion of the Code Official, there is imminent danger of failure or collapse of a building or structure which endang</w:t>
      </w:r>
      <w:r>
        <w:rPr>
          <w:rFonts w:ascii="" w:hAnsi="" w:cs="" w:eastAsia=""/>
          <w:b w:val="false"/>
          <w:i w:val="false"/>
          <w:strike w:val="false"/>
          <w:color w:val=""/>
        </w:rPr>
        <w:t>ers life, or when any structure or part of a structure has fallen and life is endangered by the occupation of the structure, or when there is actual or potential danger to the building occupants or those in the proximity of any structure because of explosi</w:t>
      </w:r>
      <w:r>
        <w:rPr>
          <w:rFonts w:ascii="" w:hAnsi="" w:cs="" w:eastAsia=""/>
          <w:b w:val="false"/>
          <w:i w:val="false"/>
          <w:strike w:val="false"/>
          <w:color w:val=""/>
        </w:rPr>
        <w:t xml:space="preserve">ves, explosive fumes or vapors or the presence of toxic fumes, gases or materials, or operation of defective or dangerous equipment, the Code Official is hereby authorized and empowered to order and require the occupants to vacate the premises forthwith.  </w:t>
      </w:r>
      <w:r>
        <w:rPr>
          <w:rFonts w:ascii="" w:hAnsi="" w:cs="" w:eastAsia=""/>
          <w:b w:val="false"/>
          <w:i w:val="false"/>
          <w:strike w:val="false"/>
          <w:color w:val=""/>
        </w:rPr>
        <w:t xml:space="preserve">The Code Official shall cause to be posted at each entrance to such structure a notice reading as follows:  “This structure is unsafe and its occupancy has been prohibited by the Code Official.”  It shall be unlawful for any person to enter such structure </w:t>
      </w:r>
      <w:r>
        <w:rPr>
          <w:rFonts w:ascii="" w:hAnsi="" w:cs="" w:eastAsia=""/>
          <w:b w:val="false"/>
          <w:i w:val="false"/>
          <w:strike w:val="false"/>
          <w:color w:val=""/>
        </w:rPr>
        <w:t>except for the purpose of securing the structure, making the required repairs, removing the hazardous condition or of demolishing the same.</w:t>
      </w:r>
    </w:p>
    <w:p>
      <w:pPr>
        <w:jc w:val="center"/>
      </w:pPr>
    </w:p>
    <w:p>
      <w:r>
        <w:drawing>
          <wp:inline distT="0" distB="0" distL="0" distR="0">
            <wp:extent cx="5715000" cy="38481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5715000" cy="3848100"/>
                    </a:xfrm>
                    <a:prstGeom prst="rect">
                      <a:avLst/>
                    </a:prstGeom>
                  </pic:spPr>
                </pic:pic>
              </a:graphicData>
            </a:graphic>
          </wp:inline>
        </w:drawing>
      </w:r>
    </w:p>
    <w:p>
      <w:pPr>
        <w:pStyle w:val=""/>
        <w:jc w:val="both"/>
      </w:pPr>
      <w:r>
        <w:rPr>
          <w:rFonts w:ascii="" w:hAnsi="" w:cs="" w:eastAsia=""/>
          <w:b w:val="false"/>
          <w:i w:val="false"/>
          <w:strike w:val="false"/>
          <w:color w:val=""/>
        </w:rPr>
        <w:t>Temporary safeguards</w:t>
      </w:r>
      <w:r>
        <w:rPr>
          <w:rFonts w:ascii="" w:hAnsi="" w:cs="" w:eastAsia=""/>
          <w:b w:val="false"/>
          <w:i w:val="false"/>
          <w:strike w:val="false"/>
          <w:color w:val=""/>
        </w:rPr>
        <w:t>.  Notwithstanding other provisions of this code, whenever, in the opinion of the Code Official</w:t>
      </w:r>
      <w:r>
        <w:rPr>
          <w:rFonts w:ascii="" w:hAnsi="" w:cs="" w:eastAsia=""/>
          <w:b w:val="false"/>
          <w:i w:val="false"/>
          <w:strike w:val="false"/>
          <w:color w:val=""/>
        </w:rPr>
        <w:t>, there is imminent danger due to an unsafe condition, the Code Official shall order the necessary work to be done, including the boarding up of openings, to render such structure temporarily safe whether or not the legal procedure herein described has bee</w:t>
      </w:r>
      <w:r>
        <w:rPr>
          <w:rFonts w:ascii="" w:hAnsi="" w:cs="" w:eastAsia=""/>
          <w:b w:val="false"/>
          <w:i w:val="false"/>
          <w:strike w:val="false"/>
          <w:color w:val=""/>
        </w:rPr>
        <w:t>n instituted; and shall cause such other action to be taken as the Code Official deems necessary to meet such emergency.</w:t>
      </w:r>
    </w:p>
    <w:p>
      <w:pPr>
        <w:pStyle w:val=""/>
        <w:jc w:val="both"/>
      </w:pPr>
      <w:r>
        <w:rPr>
          <w:rFonts w:ascii="" w:hAnsi="" w:cs="" w:eastAsia=""/>
          <w:b w:val="false"/>
          <w:i w:val="false"/>
          <w:strike w:val="false"/>
          <w:color w:val=""/>
        </w:rPr>
        <w:t>Closing of streets</w:t>
      </w:r>
      <w:r>
        <w:rPr>
          <w:rFonts w:ascii="" w:hAnsi="" w:cs="" w:eastAsia=""/>
          <w:b w:val="false"/>
          <w:i w:val="false"/>
          <w:strike w:val="false"/>
          <w:color w:val=""/>
        </w:rPr>
        <w:t>.  When necessary for public safety, the Code Official shall temporarily close structures and close, or order the au</w:t>
      </w:r>
      <w:r>
        <w:rPr>
          <w:rFonts w:ascii="" w:hAnsi="" w:cs="" w:eastAsia=""/>
          <w:b w:val="false"/>
          <w:i w:val="false"/>
          <w:strike w:val="false"/>
          <w:color w:val=""/>
        </w:rPr>
        <w:t>thority having jurisdiction to close, sidewalks, streets, public ways and places adjacent to unsafe structures, and prohibit the same from being utilized.</w:t>
      </w:r>
    </w:p>
    <w:p>
      <w:pPr>
        <w:pStyle w:val=""/>
        <w:jc w:val="both"/>
      </w:pPr>
      <w:r>
        <w:rPr>
          <w:rFonts w:ascii="" w:hAnsi="" w:cs="" w:eastAsia=""/>
          <w:b w:val="false"/>
          <w:i w:val="false"/>
          <w:strike w:val="false"/>
          <w:color w:val=""/>
        </w:rPr>
        <w:t>Emergency Repairs</w:t>
      </w:r>
      <w:r>
        <w:rPr>
          <w:rFonts w:ascii="" w:hAnsi="" w:cs="" w:eastAsia=""/>
          <w:b w:val="false"/>
          <w:i w:val="false"/>
          <w:strike w:val="false"/>
          <w:color w:val=""/>
        </w:rPr>
        <w:t>.  For the purpose of this section, the Code Official shall employ the necessary la</w:t>
      </w:r>
      <w:r>
        <w:rPr>
          <w:rFonts w:ascii="" w:hAnsi="" w:cs="" w:eastAsia=""/>
          <w:b w:val="false"/>
          <w:i w:val="false"/>
          <w:strike w:val="false"/>
          <w:color w:val=""/>
        </w:rPr>
        <w:t>bor and materials to perform the required work as expeditiously as possible.</w:t>
      </w:r>
    </w:p>
    <w:p>
      <w:pPr>
        <w:pStyle w:val=""/>
        <w:jc w:val="both"/>
      </w:pPr>
      <w:r>
        <w:rPr>
          <w:rFonts w:ascii="" w:hAnsi="" w:cs="" w:eastAsia=""/>
          <w:b w:val="false"/>
          <w:i w:val="false"/>
          <w:strike w:val="false"/>
          <w:color w:val=""/>
        </w:rPr>
        <w:t>Cost of emergency repairs</w:t>
      </w:r>
      <w:r>
        <w:rPr>
          <w:rFonts w:ascii="" w:hAnsi="" w:cs="" w:eastAsia=""/>
          <w:b w:val="false"/>
          <w:i w:val="false"/>
          <w:strike w:val="false"/>
          <w:color w:val=""/>
        </w:rPr>
        <w:t>.  Costs incurred in the performance of emergency work shall be paid by the jurisdiction.  The legal counsel of the jurisdiction shall institute appropri</w:t>
      </w:r>
      <w:r>
        <w:rPr>
          <w:rFonts w:ascii="" w:hAnsi="" w:cs="" w:eastAsia=""/>
          <w:b w:val="false"/>
          <w:i w:val="false"/>
          <w:strike w:val="false"/>
          <w:color w:val=""/>
        </w:rPr>
        <w:t>ate action against the owner of the premises where the unsafe structure is or was located for the recovery of such costs.</w:t>
      </w:r>
    </w:p>
    <w:p>
      <w:pPr>
        <w:pStyle w:val=""/>
        <w:jc w:val="both"/>
      </w:pPr>
      <w:r>
        <w:rPr>
          <w:rFonts w:ascii="" w:hAnsi="" w:cs="" w:eastAsia=""/>
          <w:b w:val="false"/>
          <w:i w:val="false"/>
          <w:strike w:val="false"/>
          <w:color w:val=""/>
        </w:rPr>
        <w:t>Emergency repair or demolition</w:t>
      </w:r>
      <w:r>
        <w:rPr>
          <w:rFonts w:ascii="" w:hAnsi="" w:cs="" w:eastAsia=""/>
          <w:b w:val="true"/>
          <w:i w:val="false"/>
          <w:strike w:val="false"/>
          <w:color w:val=""/>
        </w:rPr>
        <w:t>.</w:t>
      </w:r>
    </w:p>
    <w:p>
      <w:pPr>
        <w:pStyle w:val=""/>
        <w:jc w:val="both"/>
      </w:pPr>
    </w:p>
    <w:p>
      <w:pPr>
        <w:pStyle w:val=""/>
        <w:jc w:val="both"/>
      </w:pPr>
      <w:r>
        <w:rPr>
          <w:rFonts w:ascii="" w:hAnsi="" w:cs="" w:eastAsia=""/>
          <w:b w:val="false"/>
          <w:i w:val="false"/>
          <w:strike w:val="false"/>
          <w:color w:val=""/>
        </w:rPr>
        <w:t>In cases where it reasonably appears there is</w:t>
      </w:r>
      <w:r>
        <w:rPr>
          <w:rFonts w:ascii="" w:hAnsi="" w:cs="" w:eastAsia=""/>
          <w:b w:val="false"/>
          <w:i w:val="false"/>
          <w:strike w:val="false"/>
          <w:color w:val=""/>
        </w:rPr>
        <w:t xml:space="preserve"> </w:t>
      </w:r>
      <w:r>
        <w:rPr>
          <w:rFonts w:ascii="" w:hAnsi="" w:cs="" w:eastAsia=""/>
          <w:b w:val="false"/>
          <w:i w:val="false"/>
          <w:strike w:val="false"/>
          <w:color w:val=""/>
        </w:rPr>
        <w:t>immediate danger to the life or safety of any perso</w:t>
      </w:r>
      <w:r>
        <w:rPr>
          <w:rFonts w:ascii="" w:hAnsi="" w:cs="" w:eastAsia=""/>
          <w:b w:val="false"/>
          <w:i w:val="false"/>
          <w:strike w:val="false"/>
          <w:color w:val=""/>
        </w:rPr>
        <w:t>n unless a dwelling or rooming house unfit for human habitation or a dangerous building as defined in this article is immediately repaired or demolished, the inspector shall place a condemnation sign in the form prescribed by Section 21-13(9), upon such bu</w:t>
      </w:r>
      <w:r>
        <w:rPr>
          <w:rFonts w:ascii="" w:hAnsi="" w:cs="" w:eastAsia=""/>
          <w:b w:val="false"/>
          <w:i w:val="false"/>
          <w:strike w:val="false"/>
          <w:color w:val=""/>
        </w:rPr>
        <w:t>ilding, and shall immediately report the facts to the Code Official and to the Chief Building Official of the City.  The Code Official and/or the Chief Building Official of the City shall cause the immediate repair or demolition of such dwelling, rooming h</w:t>
      </w:r>
      <w:r>
        <w:rPr>
          <w:rFonts w:ascii="" w:hAnsi="" w:cs="" w:eastAsia=""/>
          <w:b w:val="false"/>
          <w:i w:val="false"/>
          <w:strike w:val="false"/>
          <w:color w:val=""/>
        </w:rPr>
        <w:t>ouse or building.  The cost of such emergency demolition by the City of rooming house or building shall be a lien and be collected, charging the cost thereof as a portion of the real estate taxes for the current year.</w:t>
      </w:r>
    </w:p>
    <w:p>
      <w:pPr>
        <w:pStyle w:val=""/>
        <w:jc w:val="both"/>
      </w:pPr>
      <w:r>
        <w:rPr>
          <w:rFonts w:ascii="" w:hAnsi="" w:cs="" w:eastAsia=""/>
          <w:b w:val="false"/>
          <w:i w:val="false"/>
          <w:strike w:val="false"/>
          <w:color w:val=""/>
        </w:rPr>
        <w:t xml:space="preserve">(Code 1986, § 21-15; Ord. No. 9808, § </w:t>
      </w:r>
      <w:r>
        <w:rPr>
          <w:rFonts w:ascii="" w:hAnsi="" w:cs="" w:eastAsia=""/>
          <w:b w:val="false"/>
          <w:i w:val="false"/>
          <w:strike w:val="false"/>
          <w:color w:val=""/>
        </w:rPr>
        <w:t>1, 11-12-92)</w:t>
      </w:r>
    </w:p>
    <w:p>
      <w:pPr>
        <w:pStyle w:val=""/>
        <w:jc w:val="both"/>
      </w:pPr>
    </w:p>
    <w:p>
      <w:pPr>
        <w:pStyle w:val=""/>
        <w:jc w:val="both"/>
      </w:pPr>
      <w:r>
        <w:rPr>
          <w:rFonts w:ascii="" w:hAnsi="" w:cs="" w:eastAsia=""/>
          <w:b w:val="true"/>
          <w:i w:val="false"/>
          <w:strike w:val="false"/>
          <w:color w:val=""/>
        </w:rPr>
        <w:t>Sec. 21-1</w:t>
      </w:r>
      <w:r>
        <w:rPr>
          <w:rFonts w:ascii="" w:hAnsi="" w:cs="" w:eastAsia=""/>
          <w:b w:val="true"/>
          <w:i w:val="false"/>
          <w:strike w:val="false"/>
          <w:color w:val=""/>
        </w:rPr>
        <w:t>0</w:t>
      </w:r>
      <w:r>
        <w:rPr>
          <w:rFonts w:ascii="" w:hAnsi="" w:cs="" w:eastAsia=""/>
          <w:b w:val="true"/>
          <w:i w:val="false"/>
          <w:strike w:val="false"/>
          <w:color w:val=""/>
        </w:rPr>
        <w:t>.</w:t>
      </w:r>
      <w:r>
        <w:rPr>
          <w:rFonts w:ascii="" w:hAnsi="" w:cs="" w:eastAsia=""/>
          <w:b w:val="true"/>
          <w:i w:val="false"/>
          <w:strike w:val="false"/>
          <w:color w:val=""/>
        </w:rPr>
        <w:t xml:space="preserve">Duties of housing code official and housing code inspectors. </w:t>
      </w:r>
    </w:p>
    <w:p>
      <w:pPr>
        <w:pStyle w:val=""/>
        <w:jc w:val="both"/>
      </w:pPr>
      <w:r>
        <w:rPr>
          <w:rFonts w:ascii="" w:hAnsi="" w:cs="" w:eastAsia=""/>
          <w:b w:val="false"/>
          <w:i w:val="false"/>
          <w:strike w:val="false"/>
          <w:color w:val=""/>
        </w:rPr>
        <w:t>General. The Code Official shall enforce the provisions of this code.</w:t>
      </w:r>
    </w:p>
    <w:p>
      <w:pPr>
        <w:pStyle w:val=""/>
        <w:jc w:val="both"/>
      </w:pPr>
      <w:r>
        <w:rPr>
          <w:rFonts w:ascii="" w:hAnsi="" w:cs="" w:eastAsia=""/>
          <w:b w:val="false"/>
          <w:i w:val="false"/>
          <w:strike w:val="false"/>
          <w:color w:val=""/>
        </w:rPr>
        <w:t>1)</w:t>
      </w:r>
      <w:r>
        <w:rPr>
          <w:rFonts w:ascii="" w:hAnsi="" w:cs="" w:eastAsia=""/>
          <w:b w:val="false"/>
          <w:i w:val="false"/>
          <w:strike w:val="false"/>
          <w:color w:val=""/>
        </w:rPr>
        <w:t>Rule-making authority. The Code Official shall have authority as necessary in the inter</w:t>
      </w:r>
      <w:r>
        <w:rPr>
          <w:rFonts w:ascii="" w:hAnsi="" w:cs="" w:eastAsia=""/>
          <w:b w:val="false"/>
          <w:i w:val="false"/>
          <w:strike w:val="false"/>
          <w:color w:val=""/>
        </w:rPr>
        <w:t>est of public health, safety and general welfare, to adopt and promulgate rules and procedures; to interpret and implement the provisions of this code; to secure the intent thereof; and to designate requirements applicable because of local climate or other</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All housing inspectors shall inspect any dwelling, building, rooming house, wall or structure reported  by the fire or police department, department of health or municipal judge as probably existing in violation of the provisi</w:t>
      </w:r>
      <w:r>
        <w:rPr>
          <w:rFonts w:ascii="" w:hAnsi="" w:cs="" w:eastAsia=""/>
          <w:b w:val="false"/>
          <w:i w:val="false"/>
          <w:strike w:val="false"/>
          <w:color w:val=""/>
        </w:rPr>
        <w:t>ons of this article.</w:t>
      </w:r>
    </w:p>
    <w:p>
      <w:pPr>
        <w:pStyle w:val=""/>
        <w:jc w:val="both"/>
      </w:pPr>
      <w:r>
        <w:rPr>
          <w:rFonts w:ascii="" w:hAnsi="" w:cs="" w:eastAsia=""/>
          <w:b w:val="false"/>
          <w:i w:val="false"/>
          <w:strike w:val="false"/>
          <w:color w:val=""/>
        </w:rPr>
        <w:t>6)</w:t>
      </w:r>
      <w:r>
        <w:rPr>
          <w:rFonts w:ascii="" w:hAnsi="" w:cs="" w:eastAsia=""/>
          <w:b w:val="false"/>
          <w:i w:val="false"/>
          <w:strike w:val="false"/>
          <w:color w:val=""/>
        </w:rPr>
        <w:t>The Code Official shall notify, in writing, the owner, occupant, lessee, mortgagee, agent and all other persons having an interest in such dwelling, building or rooming house, as shown by the public records, found by a housin</w:t>
      </w:r>
      <w:r>
        <w:rPr>
          <w:rFonts w:ascii="" w:hAnsi="" w:cs="" w:eastAsia=""/>
          <w:b w:val="false"/>
          <w:i w:val="false"/>
          <w:strike w:val="false"/>
          <w:color w:val=""/>
        </w:rPr>
        <w:t>g code inspector to be a dwelling unfit for human habitation or a dangerous building within the standards set forth in this Code that: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 owner shall repair or demolish such dwelling, rooming house or building in accordance with the terms of the </w:t>
      </w:r>
      <w:r>
        <w:rPr>
          <w:rFonts w:ascii="" w:hAnsi="" w:cs="" w:eastAsia=""/>
          <w:b w:val="false"/>
          <w:i w:val="false"/>
          <w:strike w:val="false"/>
          <w:color w:val=""/>
        </w:rPr>
        <w:t>notice of this article.</w:t>
      </w:r>
    </w:p>
    <w:p>
      <w:pPr>
        <w:pStyle w:val="BodyTextIndent2"/>
        <w:jc w:val="left"/>
      </w:pPr>
      <w:r>
        <w:rPr>
          <w:rFonts w:ascii="" w:hAnsi="" w:cs="" w:eastAsia=""/>
          <w:b w:val="false"/>
          <w:i w:val="false"/>
          <w:strike w:val="false"/>
          <w:color w:val=""/>
        </w:rPr>
        <w:t>(b)</w:t>
      </w:r>
      <w:r>
        <w:rPr>
          <w:rFonts w:ascii="" w:hAnsi="" w:cs="" w:eastAsia=""/>
          <w:b w:val="false"/>
          <w:i w:val="false"/>
          <w:strike w:val="false"/>
          <w:color w:val=""/>
        </w:rPr>
        <w:t>The occupant or lessee must vacate such dwelling, rooming house or building, or must have it repaired in accordance with the notice and remain in possession.</w:t>
      </w:r>
    </w:p>
    <w:p>
      <w:pPr>
        <w:pStyle w:val=""/>
        <w:jc w:val="both"/>
      </w:pPr>
    </w:p>
    <w:p>
      <w:pPr>
        <w:pStyle w:val="BodyTextIndent3"/>
        <w:jc w:val="left"/>
      </w:pPr>
      <w:r>
        <w:rPr>
          <w:rFonts w:ascii="" w:hAnsi="" w:cs="" w:eastAsia=""/>
          <w:b w:val="false"/>
          <w:i w:val="false"/>
          <w:strike w:val="false"/>
          <w:color w:val=""/>
        </w:rPr>
        <w:t>(c)</w:t>
      </w:r>
      <w:r>
        <w:rPr>
          <w:rFonts w:ascii="" w:hAnsi="" w:cs="" w:eastAsia=""/>
          <w:b w:val="false"/>
          <w:i w:val="false"/>
          <w:strike w:val="false"/>
          <w:color w:val=""/>
        </w:rPr>
        <w:t>The mortgagee, agent or other person having an inter</w:t>
      </w:r>
      <w:r>
        <w:rPr>
          <w:rFonts w:ascii="" w:hAnsi="" w:cs="" w:eastAsia=""/>
          <w:b w:val="false"/>
          <w:i w:val="false"/>
          <w:strike w:val="false"/>
          <w:color w:val=""/>
        </w:rPr>
        <w:t xml:space="preserve">est in such dwelling, rooming house or building, as shown by the public record may, at his own risk, repair or demolish the dwelling, rooming house or building or have such work or act done, </w:t>
      </w:r>
      <w:r>
        <w:rPr>
          <w:rFonts w:ascii="" w:hAnsi="" w:cs="" w:eastAsia=""/>
          <w:b w:val="false"/>
          <w:i w:val="false"/>
          <w:strike w:val="false"/>
          <w:color w:val=""/>
        </w:rPr>
        <w:t>provided that any person notified under this subsection to repair</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left"/>
      </w:pPr>
    </w:p>
    <w:p>
      <w:pPr>
        <w:pStyle w:val=""/>
        <w:jc w:val="both"/>
      </w:pP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facilities consisting of at least two (2) separate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acknowledgin</w:t>
      </w:r>
      <w:r>
        <w:rPr>
          <w:rFonts w:ascii="" w:hAnsi="" w:cs="" w:eastAsia=""/>
          <w:b w:val="false"/>
          <w:i w:val="false"/>
          <w:strike w:val="false"/>
          <w:color w:val=""/>
        </w:rPr>
        <w:t>g the receipt of such compliance order or notice of violation for making the corrections or repairs required by such compliance order or 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“forty (40).”</w:t>
      </w:r>
    </w:p>
    <w:p>
      <w:pPr>
        <w:pStyle w:val=""/>
        <w:jc w:val="both"/>
      </w:pP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to an approved state of maintenance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2018-01-14T17:21:52Z</dcterms:created>
  <dc:creator>Apache POI</dc:creator>
</cp:coreProperties>
</file>