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From: Linda Mennitt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income</w:t>
      </w:r>
      <w:r>
        <w:rPr>
          <w:rFonts w:ascii="Courier New" w:hAnsi="Courier New" w:cs="Courier New" w:eastAsia="Courier New"/>
          <w:b w:val="false"/>
          <w:i w:val="false"/>
          <w:strike w:val="false"/>
          <w:color w:val=""/>
          <w:sz w:val="20"/>
        </w:rPr>
        <w:t xml:space="preserv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flexible</w:t>
      </w:r>
      <w:r>
        <w:rPr>
          <w:rFonts w:ascii="Courier New" w:hAnsi="Courier New" w:cs="Courier New" w:eastAsia="Courier New"/>
          <w:b w:val="false"/>
          <w:i w:val="false"/>
          <w:strike w:val="false"/>
          <w:color w:val=""/>
          <w:sz w:val="20"/>
        </w:rPr>
        <w:t xml:space="preserv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savings</w:t>
      </w:r>
      <w:r>
        <w:rPr>
          <w:rFonts w:ascii="Courier New" w:hAnsi="Courier New" w:cs="Courier New" w:eastAsia="Courier New"/>
          <w:b w:val="false"/>
          <w:i w:val="false"/>
          <w:strike w:val="false"/>
          <w:color w:val=""/>
          <w:sz w:val="20"/>
        </w:rPr>
        <w:t xml:space="preserve">,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 xml:space="preserve">Estate and Gift Taxes - Strangers </w:t>
      </w:r>
      <w:r>
        <w:rPr>
          <w:rFonts w:ascii="Courier New" w:hAnsi="Courier New" w:cs="Courier New" w:eastAsia="Courier New"/>
          <w:b w:val="false"/>
          <w:i w:val="false"/>
          <w:strike w:val="false"/>
          <w:color w:val=""/>
          <w:sz w:val="20"/>
        </w:rPr>
        <w:t>Under</w:t>
      </w:r>
      <w:r>
        <w:rPr>
          <w:rFonts w:ascii="Courier New" w:hAnsi="Courier New" w:cs="Courier New" w:eastAsia="Courier New"/>
          <w:b w:val="false"/>
          <w:i w:val="false"/>
          <w:strike w:val="false"/>
          <w:color w:val=""/>
          <w:sz w:val="20"/>
        </w:rPr>
        <w:t xml:space="preserve"> the Law:  Different-sex</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So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Social Security on an equal basis with their heterosexual counterparts, but are not eligible for equal benefits.</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benefits</w:t>
      </w:r>
      <w:r>
        <w:rPr>
          <w:rFonts w:ascii="Courier New" w:hAnsi="Courier New" w:cs="Courier New" w:eastAsia="Courier New"/>
          <w:b w:val="false"/>
          <w:i w:val="false"/>
          <w:strike w:val="false"/>
          <w:color w:val=""/>
          <w:sz w:val="20"/>
        </w:rPr>
        <w:t xml:space="preserve">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raised</w:t>
      </w:r>
      <w:r>
        <w:rPr>
          <w:rFonts w:ascii="Courier New" w:hAnsi="Courier New" w:cs="Courier New" w:eastAsia="Courier New"/>
          <w:b w:val="false"/>
          <w:i w:val="false"/>
          <w:strike w:val="false"/>
          <w:color w:val=""/>
          <w:sz w:val="20"/>
        </w:rPr>
        <w:t xml:space="preserve">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are</w:t>
      </w:r>
      <w:r>
        <w:rPr>
          <w:rFonts w:ascii="Courier New" w:hAnsi="Courier New" w:cs="Courier New" w:eastAsia="Courier New"/>
          <w:b w:val="false"/>
          <w:i w:val="false"/>
          <w:strike w:val="false"/>
          <w:color w:val=""/>
          <w:sz w:val="20"/>
        </w:rPr>
        <w:t xml:space="preserv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2021-03-31T15:55:27Z</dcterms:created>
  <dc:creator>Apache POI</dc:creator>
</cp:coreProperties>
</file>