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Disorder-Induced Resistive Anomaly </w:t>
      </w:r>
      <w:r>
        <w:rPr>
          <w:rFonts w:ascii="" w:hAnsi="" w:cs="" w:eastAsia=""/>
          <w:b w:val="true"/>
          <w:i w:val="false"/>
          <w:strike w:val="false"/>
          <w:color w:val=""/>
        </w:rPr>
        <w:t>Near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Ferromagnetic Phase Transitions*</w:t>
      </w:r>
    </w:p>
    <w:p>
      <w:pPr>
        <w:pStyle w:val="HTMLPreformatted"/>
        <w:jc w:val="center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 xml:space="preserve">Felix von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Oppen</w:t>
      </w:r>
    </w:p>
    <w:p>
      <w:pPr>
        <w:jc w:val="center"/>
      </w:pPr>
    </w:p>
    <w:p>
      <w:r>
        <w:drawing>
          <wp:inline distT="0" distB="0" distL="0" distR="0">
            <wp:extent cx="7315200" cy="7315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Freie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true"/>
          <w:strike w:val="false"/>
          <w:color w:val=""/>
        </w:rPr>
        <w:t>Universitat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Berlin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We show that the resistivity 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(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disordered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near, and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above, the Curie temperature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generically exhibits a stronger anom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aly than the scaling-based Fisher-Langer prediction. Treating transport beyond the Boltzmann description, we find that within mean-field theory,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/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exhibits a |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T-T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|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1/2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singularity 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Our results, being solely due to impurities, are relevant to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with low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such as SrRuO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3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or diluted magnetic semiconductors, whose mobility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is limited by disorder.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*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Carsten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Timm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M.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E.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Raikh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Felix von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Oppen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Phys. 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auto"/>
          <w:sz w:val="24"/>
        </w:rPr>
        <w:t>94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036602 (2005)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2021-03-31T15:55:15Z</dcterms:created>
  <dc:creator>Apache POI</dc:creator>
</cp:coreProperties>
</file>