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June 4, 1999</w:t>
      </w:r>
      <w:r>
        <w:rPr>
          <w:rFonts w:ascii="" w:hAnsi="" w:cs="" w:eastAsia=""/>
          <w:b w:val="false"/>
          <w:i w:val="false"/>
          <w:strike w:val="false"/>
          <w:color w:val=""/>
        </w:rPr>
        <w:t>DCL -99-55</w:t>
      </w:r>
    </w:p>
    <w:p>
      <w:pPr>
        <w:pStyle w:val=""/>
        <w:jc w:val="left"/>
      </w:pPr>
      <w:r>
        <w:rPr>
          <w:rFonts w:ascii="" w:hAnsi="" w:cs="" w:eastAsia=""/>
          <w:b w:val="false"/>
          <w:i w:val="false"/>
          <w:strike w:val="false"/>
          <w:color w:val=""/>
        </w:rPr>
        <w:t>Dear Colleague:</w:t>
      </w:r>
    </w:p>
    <w:p>
      <w:pPr>
        <w:pStyle w:val=""/>
        <w:jc w:val="left"/>
      </w:pPr>
      <w:r>
        <w:rPr>
          <w:rFonts w:ascii="" w:hAnsi="" w:cs="" w:eastAsia=""/>
          <w:b w:val="false"/>
          <w:i w:val="false"/>
          <w:strike w:val="false"/>
          <w:color w:val=""/>
        </w:rPr>
        <w:t>Enclosed is a copy of the Child Support Enforcement FY 1998 Preliminary Data Report.  This report will provide a summary of financial and statistical information on the Child Support Enforcement Program for fiscal years 1994 through 1998.  This includes data reported to the Office of Child Support Enforcement as of  May 1999.  The data in this report are preliminary and subject to change.</w:t>
      </w:r>
    </w:p>
    <w:p>
      <w:pPr>
        <w:pStyle w:val=""/>
        <w:jc w:val="left"/>
      </w:pPr>
      <w:r>
        <w:rPr>
          <w:rFonts w:ascii="" w:hAnsi="" w:cs="" w:eastAsia=""/>
          <w:b w:val="false"/>
          <w:i w:val="false"/>
          <w:strike w:val="false"/>
          <w:color w:val=""/>
        </w:rPr>
        <w:t>Preliminary data show that in FY 1998, the Child Support Enforcement Program:</w:t>
      </w:r>
    </w:p>
    <w:p>
      <w:pPr>
        <w:pStyle w:val=""/>
        <w:jc w:val="left"/>
      </w:pPr>
      <w:r>
        <w:rPr>
          <w:rFonts w:ascii="" w:hAnsi="" w:cs="" w:eastAsia=""/>
          <w:b w:val="false"/>
          <w:i w:val="false"/>
          <w:strike w:val="false"/>
          <w:color w:val=""/>
        </w:rPr>
        <w:t>Established and acknowledged 1.5 million paternities;</w:t>
      </w:r>
    </w:p>
    <w:p>
      <w:pPr>
        <w:pStyle w:val=""/>
        <w:jc w:val="left"/>
      </w:pPr>
      <w:r>
        <w:rPr>
          <w:rFonts w:ascii="" w:hAnsi="" w:cs="" w:eastAsia=""/>
          <w:b w:val="false"/>
          <w:i w:val="false"/>
          <w:strike w:val="false"/>
          <w:color w:val=""/>
        </w:rPr>
        <w:t xml:space="preserve">Established 1,110,755  orders for child support; and </w:t>
      </w:r>
    </w:p>
    <w:p>
      <w:pPr>
        <w:pStyle w:val=""/>
        <w:jc w:val="left"/>
      </w:pPr>
      <w:r>
        <w:rPr>
          <w:rFonts w:ascii="" w:hAnsi="" w:cs="" w:eastAsia=""/>
          <w:b w:val="false"/>
          <w:i w:val="false"/>
          <w:strike w:val="false"/>
          <w:color w:val=""/>
        </w:rPr>
        <w:t>Collected more than $14.3 billion in child support payments.</w:t>
      </w:r>
    </w:p>
    <w:p>
      <w:pPr>
        <w:pStyle w:val=""/>
        <w:jc w:val="left"/>
      </w:pPr>
      <w:r>
        <w:rPr>
          <w:rFonts w:ascii="" w:hAnsi="" w:cs="" w:eastAsia=""/>
          <w:b w:val="false"/>
          <w:i w:val="false"/>
          <w:strike w:val="false"/>
          <w:color w:val=""/>
        </w:rPr>
        <w:t>This performance information reflects the commitment of the Federal, State and local agencies to the child support program.  We acknowledge these results, but realize there are still many children to help.</w:t>
      </w:r>
    </w:p>
    <w:p>
      <w:pPr>
        <w:pStyle w:val=""/>
        <w:jc w:val="left"/>
      </w:pPr>
      <w:r>
        <w:rPr>
          <w:rFonts w:ascii="" w:hAnsi="" w:cs="" w:eastAsia=""/>
          <w:b w:val="false"/>
          <w:i w:val="false"/>
          <w:strike w:val="false"/>
          <w:color w:val=""/>
        </w:rPr>
        <w:t xml:space="preserve">If you have any questions or comments concerning the report please call Renée Jackson at (202) 401-5101, Nina T Campbell at (202) 401-5049, or Adrienna Johnson at (202) 401-9384. </w:t>
      </w:r>
    </w:p>
    <w:p>
      <w:pPr>
        <w:pStyle w:val=""/>
        <w:jc w:val="left"/>
      </w:pPr>
    </w:p>
    <w:p>
      <w:pPr>
        <w:pStyle w:val=""/>
        <w:jc w:val="left"/>
      </w:pPr>
      <w:r>
        <w:rPr>
          <w:rFonts w:ascii="" w:hAnsi="" w:cs="" w:eastAsia=""/>
          <w:b w:val="false"/>
          <w:i w:val="false"/>
          <w:strike w:val="false"/>
          <w:color w:val=""/>
        </w:rPr>
        <w:t>Sincerely,</w:t>
      </w:r>
    </w:p>
    <w:p>
      <w:pPr>
        <w:pStyle w:val=""/>
        <w:jc w:val="left"/>
      </w:pPr>
      <w:r>
        <w:rPr>
          <w:rFonts w:ascii="" w:hAnsi="" w:cs="" w:eastAsia=""/>
          <w:b w:val="false"/>
          <w:i w:val="false"/>
          <w:strike w:val="false"/>
          <w:color w:val=""/>
        </w:rPr>
        <w:t>David Gray Ross</w:t>
      </w:r>
    </w:p>
    <w:p>
      <w:pPr>
        <w:pStyle w:val=""/>
        <w:jc w:val="left"/>
      </w:pPr>
      <w:r>
        <w:rPr>
          <w:rFonts w:ascii="" w:hAnsi="" w:cs="" w:eastAsia=""/>
          <w:b w:val="false"/>
          <w:i w:val="false"/>
          <w:strike w:val="false"/>
          <w:color w:val=""/>
        </w:rPr>
        <w:t>Commissioner</w:t>
      </w:r>
    </w:p>
    <w:p>
      <w:pPr>
        <w:pStyle w:val=""/>
        <w:jc w:val="left"/>
      </w:pPr>
      <w:r>
        <w:rPr>
          <w:rFonts w:ascii="" w:hAnsi="" w:cs="" w:eastAsia=""/>
          <w:b w:val="false"/>
          <w:i w:val="false"/>
          <w:strike w:val="false"/>
          <w:color w:val=""/>
        </w:rPr>
        <w:t>Office of Child Support</w:t>
      </w:r>
    </w:p>
    <w:p>
      <w:pPr>
        <w:pStyle w:val=""/>
        <w:jc w:val="left"/>
      </w:pPr>
      <w:r>
        <w:rPr>
          <w:rFonts w:ascii="" w:hAnsi="" w:cs="" w:eastAsia=""/>
          <w:b w:val="false"/>
          <w:i w:val="false"/>
          <w:strike w:val="false"/>
          <w:color w:val=""/>
        </w:rPr>
        <w:t xml:space="preserve">   Enforcement</w:t>
      </w:r>
    </w:p>
    <w:p>
      <w:pPr>
        <w:pStyle w:val=""/>
        <w:jc w:val="left"/>
      </w:pPr>
      <w:r>
        <w:rPr>
          <w:rFonts w:ascii="" w:hAnsi="" w:cs="" w:eastAsia=""/>
          <w:b w:val="false"/>
          <w:i w:val="false"/>
          <w:strike w:val="false"/>
          <w:color w:val=""/>
        </w:rPr>
        <w:t>Enclosure</w:t>
      </w:r>
    </w:p>
    <w:p>
      <w:pPr>
        <w:pStyle w:val=""/>
        <w:jc w:val="center"/>
      </w:pPr>
      <w:r>
        <w:rPr>
          <w:rFonts w:ascii="" w:hAnsi="" w:cs="" w:eastAsia=""/>
          <w:b w:val="false"/>
          <w:i w:val="false"/>
          <w:strike w:val="false"/>
          <w:color w:val=""/>
          <w:sz w:val="36"/>
        </w:rPr>
        <w:t>Child Support Enforcement</w:t>
      </w:r>
    </w:p>
    <w:p>
      <w:pPr>
        <w:pStyle w:val=""/>
        <w:jc w:val="center"/>
      </w:pPr>
      <w:r>
        <w:rPr>
          <w:rFonts w:ascii="" w:hAnsi="" w:cs="" w:eastAsia=""/>
          <w:b w:val="false"/>
          <w:i w:val="false"/>
          <w:strike w:val="false"/>
          <w:color w:val=""/>
          <w:sz w:val="36"/>
        </w:rPr>
        <w:t>FY 1998</w:t>
      </w:r>
    </w:p>
    <w:p>
      <w:pPr>
        <w:pStyle w:val=""/>
        <w:jc w:val="center"/>
      </w:pPr>
      <w:r>
        <w:rPr>
          <w:rFonts w:ascii="" w:hAnsi="" w:cs="" w:eastAsia=""/>
          <w:b w:val="false"/>
          <w:i w:val="false"/>
          <w:strike w:val="false"/>
          <w:color w:val=""/>
          <w:sz w:val="36"/>
        </w:rPr>
        <w:t>PRELIMINARY DATA</w:t>
      </w:r>
    </w:p>
    <w:p>
      <w:pPr>
        <w:pStyle w:val=""/>
        <w:jc w:val="center"/>
      </w:pPr>
      <w:r>
        <w:rPr>
          <w:rFonts w:ascii="" w:hAnsi="" w:cs="" w:eastAsia=""/>
          <w:b w:val="false"/>
          <w:i w:val="false"/>
          <w:strike w:val="false"/>
          <w:color w:val=""/>
          <w:sz w:val="36"/>
        </w:rPr>
        <w:t xml:space="preserve"> REPORT</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Arial Narrow" w:hAnsi="Arial Narrow" w:cs="Arial Narrow" w:eastAsia="Arial Narrow"/>
          <w:b w:val="true"/>
          <w:i w:val="true"/>
          <w:strike w:val="false"/>
          <w:color w:val=""/>
          <w:sz w:val="16"/>
        </w:rPr>
        <w:t xml:space="preserve">           OCSE-- Giving Hope and Support to America’s Children since 1975</w:t>
      </w:r>
    </w:p>
    <w:p>
      <w:pPr>
        <w:pStyle w:val="Heading5"/>
        <w:jc w:val="left"/>
      </w:pPr>
      <w:r>
        <w:rPr>
          <w:rFonts w:ascii="" w:hAnsi="" w:cs="" w:eastAsia=""/>
          <w:b w:val="false"/>
          <w:i w:val="false"/>
          <w:strike w:val="false"/>
          <w:color w:val=""/>
        </w:rPr>
        <w:t>MAY 1999</w:t>
      </w:r>
    </w:p>
    <w:p>
      <w:pPr>
        <w:pStyle w:val=""/>
        <w:jc w:val="center"/>
      </w:pPr>
      <w:r>
        <w:rPr>
          <w:rFonts w:ascii="" w:hAnsi="" w:cs="" w:eastAsia=""/>
          <w:b w:val="false"/>
          <w:i w:val="true"/>
          <w:strike w:val="false"/>
          <w:color w:val=""/>
        </w:rPr>
        <w:t xml:space="preserve">   Department of Health and Human Service</w:t>
      </w:r>
    </w:p>
    <w:p>
      <w:pPr>
        <w:pStyle w:val=""/>
        <w:jc w:val="center"/>
      </w:pPr>
      <w:r>
        <w:rPr>
          <w:rFonts w:ascii="" w:hAnsi="" w:cs="" w:eastAsia=""/>
          <w:b w:val="false"/>
          <w:i w:val="true"/>
          <w:strike w:val="false"/>
          <w:color w:val=""/>
        </w:rPr>
        <w:t xml:space="preserve">   Administration for Children and Families</w:t>
      </w:r>
    </w:p>
    <w:p>
      <w:pPr>
        <w:pStyle w:val=""/>
        <w:jc w:val="center"/>
      </w:pPr>
      <w:r>
        <w:rPr>
          <w:rFonts w:ascii="" w:hAnsi="" w:cs="" w:eastAsia=""/>
          <w:b w:val="false"/>
          <w:i w:val="true"/>
          <w:strike w:val="false"/>
          <w:color w:val=""/>
        </w:rPr>
        <w:t xml:space="preserve">   Office of Child Support Enforcement</w:t>
      </w:r>
    </w:p>
    <w:p>
      <w:pPr>
        <w:pStyle w:val=""/>
        <w:jc w:val="center"/>
      </w:pPr>
      <w:r>
        <w:rPr>
          <w:rFonts w:ascii="" w:hAnsi="" w:cs="" w:eastAsia=""/>
          <w:b w:val="false"/>
          <w:i w:val="true"/>
          <w:strike w:val="false"/>
          <w:color w:val=""/>
        </w:rPr>
        <w:t xml:space="preserve">   Division of Policy and Planning</w:t>
      </w:r>
    </w:p>
    <w:p>
      <w:pPr>
        <w:pStyle w:val=""/>
        <w:jc w:val="both"/>
      </w:pPr>
    </w:p>
    <w:p>
      <w:pPr>
        <w:pStyle w:val=""/>
        <w:jc w:val="center"/>
      </w:pPr>
      <w:r>
        <w:rPr>
          <w:rFonts w:ascii="" w:hAnsi="" w:cs="" w:eastAsia=""/>
          <w:b w:val="true"/>
          <w:i w:val="false"/>
          <w:strike w:val="false"/>
          <w:color w:val=""/>
          <w:sz w:val="28"/>
        </w:rPr>
        <w:t>Preface</w:t>
      </w:r>
    </w:p>
    <w:p>
      <w:pPr>
        <w:pStyle w:val="BodyText2"/>
        <w:jc w:val="left"/>
      </w:pPr>
      <w:r>
        <w:rPr>
          <w:rFonts w:ascii="" w:hAnsi="" w:cs="" w:eastAsia=""/>
          <w:b w:val="false"/>
          <w:i w:val="false"/>
          <w:strike w:val="false"/>
          <w:color w:val=""/>
        </w:rPr>
        <w:t>The following Office of Child Support Enforcement (OCSE) preliminary data report highlights financial and statistical achievements of the Child Support Enforcement program for fiscal year 1998.  Since its inception in 1975, the child support program has grown in caseloads, paternities established, orders established, and collections received.  This preliminary data report is a first look at the advancements we have made in these important program areas and others for fiscal year 1998.</w:t>
      </w:r>
    </w:p>
    <w:p>
      <w:pPr>
        <w:pStyle w:val=""/>
        <w:jc w:val="both"/>
      </w:pPr>
    </w:p>
    <w:p>
      <w:pPr>
        <w:pStyle w:val=""/>
        <w:jc w:val="both"/>
      </w:pPr>
      <w:r>
        <w:rPr>
          <w:rFonts w:ascii="" w:hAnsi="" w:cs="" w:eastAsia=""/>
          <w:b w:val="true"/>
          <w:i w:val="false"/>
          <w:strike w:val="false"/>
          <w:color w:val=""/>
          <w:sz w:val="28"/>
        </w:rPr>
        <w:t>Table of Contents</w:t>
      </w:r>
    </w:p>
    <w:p>
      <w:pPr>
        <w:pStyle w:val=""/>
        <w:jc w:val="both"/>
      </w:pPr>
      <w:r>
        <w:rPr>
          <w:rFonts w:ascii="" w:hAnsi="" w:cs="" w:eastAsia=""/>
          <w:b w:val="true"/>
          <w:i w:val="false"/>
          <w:strike w:val="false"/>
          <w:color w:val=""/>
          <w:sz w:val="28"/>
        </w:rPr>
        <w:t>Office of Child Support Enforcement</w:t>
      </w:r>
    </w:p>
    <w:p>
      <w:pPr>
        <w:pStyle w:val=""/>
        <w:jc w:val="both"/>
      </w:pPr>
      <w:r>
        <w:rPr>
          <w:rFonts w:ascii="" w:hAnsi="" w:cs="" w:eastAsia=""/>
          <w:b w:val="true"/>
          <w:i w:val="false"/>
          <w:strike w:val="false"/>
          <w:color w:val=""/>
          <w:sz w:val="28"/>
        </w:rPr>
        <w:t>FY 1998 Preliminary Data Report</w:t>
      </w:r>
    </w:p>
    <w:p>
      <w:pPr>
        <w:pStyle w:val=""/>
        <w:jc w:val="both"/>
      </w:pPr>
      <w:r>
        <w:rPr>
          <w:rFonts w:ascii="" w:hAnsi="" w:cs="" w:eastAsia=""/>
          <w:b w:val="false"/>
          <w:i w:val="false"/>
          <w:strike w:val="false"/>
          <w:color w:val=""/>
        </w:rPr>
        <w:t>Preface</w:t>
      </w:r>
    </w:p>
    <w:p>
      <w:pPr>
        <w:pStyle w:val=""/>
        <w:jc w:val="both"/>
      </w:pPr>
      <w:r>
        <w:rPr>
          <w:rFonts w:ascii="" w:hAnsi="" w:cs="" w:eastAsia=""/>
          <w:b w:val="false"/>
          <w:i w:val="false"/>
          <w:strike w:val="false"/>
          <w:color w:val=""/>
        </w:rPr>
        <w:t>Table of Contents</w:t>
      </w:r>
    </w:p>
    <w:p>
      <w:pPr>
        <w:pStyle w:val=""/>
        <w:jc w:val="both"/>
      </w:pPr>
      <w:r>
        <w:rPr>
          <w:rFonts w:ascii="" w:hAnsi="" w:cs="" w:eastAsia=""/>
          <w:b w:val="true"/>
          <w:i w:val="false"/>
          <w:strike w:val="false"/>
          <w:color w:val=""/>
        </w:rPr>
        <w:t>Program Results</w:t>
      </w:r>
      <w:r>
        <w:rPr>
          <w:rFonts w:ascii="" w:hAnsi="" w:cs="" w:eastAsia=""/>
          <w:b w:val="true"/>
          <w:i w:val="false"/>
          <w:strike w:val="false"/>
          <w:color w:val=""/>
        </w:rPr>
        <w:t>1</w:t>
      </w:r>
    </w:p>
    <w:p>
      <w:pPr>
        <w:pStyle w:val=""/>
        <w:jc w:val="both"/>
      </w:pPr>
      <w:r>
        <w:rPr>
          <w:rFonts w:ascii="" w:hAnsi="" w:cs="" w:eastAsia=""/>
          <w:b w:val="false"/>
          <w:i w:val="false"/>
          <w:strike w:val="false"/>
          <w:color w:val=""/>
        </w:rPr>
        <w:t xml:space="preserve">Child Support Enforcement Program Background </w:t>
      </w:r>
      <w:r>
        <w:rPr>
          <w:rFonts w:ascii="" w:hAnsi="" w:cs="" w:eastAsia=""/>
          <w:b w:val="false"/>
          <w:i w:val="false"/>
          <w:strike w:val="false"/>
          <w:color w:val=""/>
        </w:rPr>
        <w:t>2</w:t>
      </w:r>
    </w:p>
    <w:p>
      <w:pPr>
        <w:pStyle w:val=""/>
        <w:jc w:val="both"/>
      </w:pPr>
      <w:r>
        <w:rPr>
          <w:rFonts w:ascii="" w:hAnsi="" w:cs="" w:eastAsia=""/>
          <w:b w:val="false"/>
          <w:i w:val="false"/>
          <w:strike w:val="false"/>
          <w:color w:val=""/>
        </w:rPr>
        <w:t>Program Results for FY 1998</w:t>
      </w:r>
      <w:r>
        <w:rPr>
          <w:rFonts w:ascii="" w:hAnsi="" w:cs="" w:eastAsia=""/>
          <w:b w:val="false"/>
          <w:i w:val="false"/>
          <w:strike w:val="false"/>
          <w:color w:val=""/>
        </w:rPr>
        <w:t>3</w:t>
      </w:r>
    </w:p>
    <w:p>
      <w:pPr>
        <w:pStyle w:val=""/>
        <w:jc w:val="both"/>
      </w:pPr>
      <w:r>
        <w:rPr>
          <w:rFonts w:ascii="" w:hAnsi="" w:cs="" w:eastAsia=""/>
          <w:b w:val="false"/>
          <w:i w:val="false"/>
          <w:strike w:val="false"/>
          <w:color w:val=""/>
        </w:rPr>
        <w:t>Table   1 - Financial Overview</w:t>
      </w:r>
      <w:r>
        <w:rPr>
          <w:rFonts w:ascii="" w:hAnsi="" w:cs="" w:eastAsia=""/>
          <w:b w:val="false"/>
          <w:i w:val="false"/>
          <w:strike w:val="false"/>
          <w:color w:val=""/>
        </w:rPr>
        <w:t xml:space="preserve">  7</w:t>
      </w:r>
    </w:p>
    <w:p>
      <w:pPr>
        <w:pStyle w:val=""/>
        <w:jc w:val="both"/>
      </w:pPr>
      <w:r>
        <w:rPr>
          <w:rFonts w:ascii="" w:hAnsi="" w:cs="" w:eastAsia=""/>
          <w:b w:val="false"/>
          <w:i w:val="false"/>
          <w:strike w:val="false"/>
          <w:color w:val=""/>
        </w:rPr>
        <w:t>Table   2 - Statistical Overview</w:t>
      </w:r>
      <w:r>
        <w:rPr>
          <w:rFonts w:ascii="" w:hAnsi="" w:cs="" w:eastAsia=""/>
          <w:b w:val="false"/>
          <w:i w:val="false"/>
          <w:strike w:val="false"/>
          <w:color w:val=""/>
        </w:rPr>
        <w:t xml:space="preserve">  8</w:t>
      </w:r>
    </w:p>
    <w:p>
      <w:pPr>
        <w:pStyle w:val=""/>
        <w:jc w:val="both"/>
      </w:pPr>
      <w:r>
        <w:rPr>
          <w:rFonts w:ascii="" w:hAnsi="" w:cs="" w:eastAsia=""/>
          <w:b w:val="false"/>
          <w:i w:val="false"/>
          <w:strike w:val="false"/>
          <w:color w:val=""/>
        </w:rPr>
        <w:t>Table   3 - Financial Program Status</w:t>
      </w:r>
      <w:r>
        <w:rPr>
          <w:rFonts w:ascii="" w:hAnsi="" w:cs="" w:eastAsia=""/>
          <w:b w:val="false"/>
          <w:i w:val="false"/>
          <w:strike w:val="false"/>
          <w:color w:val=""/>
        </w:rPr>
        <w:t xml:space="preserve">  9</w:t>
      </w:r>
    </w:p>
    <w:p>
      <w:pPr>
        <w:pStyle w:val=""/>
        <w:jc w:val="both"/>
      </w:pPr>
      <w:r>
        <w:rPr>
          <w:rFonts w:ascii="" w:hAnsi="" w:cs="" w:eastAsia=""/>
          <w:b w:val="false"/>
          <w:i w:val="false"/>
          <w:strike w:val="false"/>
          <w:color w:val=""/>
        </w:rPr>
        <w:t>Table   4 - Statistical Program Status</w:t>
      </w:r>
      <w:r>
        <w:rPr>
          <w:rFonts w:ascii="" w:hAnsi="" w:cs="" w:eastAsia=""/>
          <w:b w:val="false"/>
          <w:i w:val="false"/>
          <w:strike w:val="false"/>
          <w:color w:val=""/>
        </w:rPr>
        <w:t xml:space="preserve"> 10</w:t>
      </w:r>
    </w:p>
    <w:p>
      <w:pPr>
        <w:pStyle w:val=""/>
        <w:jc w:val="both"/>
      </w:pPr>
      <w:r>
        <w:rPr>
          <w:rFonts w:ascii="" w:hAnsi="" w:cs="" w:eastAsia=""/>
          <w:b w:val="false"/>
          <w:i w:val="false"/>
          <w:strike w:val="false"/>
          <w:color w:val=""/>
        </w:rPr>
        <w:t>Table   5 - Program Trends</w:t>
      </w:r>
      <w:r>
        <w:rPr>
          <w:rFonts w:ascii="" w:hAnsi="" w:cs="" w:eastAsia=""/>
          <w:b w:val="false"/>
          <w:i w:val="false"/>
          <w:strike w:val="false"/>
          <w:color w:val=""/>
        </w:rPr>
        <w:t xml:space="preserve"> 11</w:t>
      </w:r>
    </w:p>
    <w:p>
      <w:pPr>
        <w:pStyle w:val=""/>
        <w:jc w:val="both"/>
      </w:pPr>
      <w:r>
        <w:rPr>
          <w:rFonts w:ascii="" w:hAnsi="" w:cs="" w:eastAsia=""/>
          <w:b w:val="false"/>
          <w:i w:val="false"/>
          <w:strike w:val="false"/>
          <w:color w:val=""/>
        </w:rPr>
        <w:t>Table   6 - In-Hospital Paternity Acknowledgments</w:t>
      </w:r>
      <w:r>
        <w:rPr>
          <w:rFonts w:ascii="" w:hAnsi="" w:cs="" w:eastAsia=""/>
          <w:b w:val="false"/>
          <w:i w:val="false"/>
          <w:strike w:val="false"/>
          <w:color w:val=""/>
        </w:rPr>
        <w:t xml:space="preserve"> 12</w:t>
      </w:r>
    </w:p>
    <w:p>
      <w:pPr>
        <w:pStyle w:val=""/>
        <w:jc w:val="both"/>
      </w:pPr>
      <w:r>
        <w:rPr>
          <w:rFonts w:ascii="" w:hAnsi="" w:cs="" w:eastAsia=""/>
          <w:b w:val="false"/>
          <w:i w:val="false"/>
          <w:strike w:val="false"/>
          <w:color w:val=""/>
        </w:rPr>
        <w:t>Table   7 - Total Distributed Collections Per Full-Time Equivalent Staff</w:t>
      </w:r>
      <w:r>
        <w:rPr>
          <w:rFonts w:ascii="" w:hAnsi="" w:cs="" w:eastAsia=""/>
          <w:b w:val="false"/>
          <w:i w:val="false"/>
          <w:strike w:val="false"/>
          <w:color w:val=""/>
        </w:rPr>
        <w:t>13</w:t>
      </w:r>
    </w:p>
    <w:p>
      <w:pPr>
        <w:pStyle w:val=""/>
        <w:jc w:val="both"/>
      </w:pPr>
      <w:r>
        <w:rPr>
          <w:rFonts w:ascii="" w:hAnsi="" w:cs="" w:eastAsia=""/>
          <w:b w:val="false"/>
          <w:i w:val="false"/>
          <w:strike w:val="false"/>
          <w:color w:val=""/>
        </w:rPr>
        <w:t>Table   8 - Accounts Receivable - Current Support Due and Received</w:t>
      </w:r>
      <w:r>
        <w:rPr>
          <w:rFonts w:ascii="" w:hAnsi="" w:cs="" w:eastAsia=""/>
          <w:b w:val="false"/>
          <w:i w:val="false"/>
          <w:strike w:val="false"/>
          <w:color w:val=""/>
        </w:rPr>
        <w:t>14</w:t>
      </w:r>
    </w:p>
    <w:p>
      <w:pPr>
        <w:pStyle w:val=""/>
        <w:jc w:val="both"/>
      </w:pPr>
      <w:r>
        <w:rPr>
          <w:rFonts w:ascii="" w:hAnsi="" w:cs="" w:eastAsia=""/>
          <w:b w:val="false"/>
          <w:i w:val="false"/>
          <w:strike w:val="false"/>
          <w:color w:val=""/>
        </w:rPr>
        <w:t>Table   9 - Accounts Receivable - Orders for Current Year Support</w:t>
      </w:r>
      <w:r>
        <w:rPr>
          <w:rFonts w:ascii="" w:hAnsi="" w:cs="" w:eastAsia=""/>
          <w:b w:val="false"/>
          <w:i w:val="false"/>
          <w:strike w:val="false"/>
          <w:color w:val=""/>
        </w:rPr>
        <w:t>15</w:t>
      </w:r>
    </w:p>
    <w:p>
      <w:pPr>
        <w:pStyle w:val=""/>
        <w:jc w:val="both"/>
      </w:pPr>
      <w:r>
        <w:rPr>
          <w:rFonts w:ascii="" w:hAnsi="" w:cs="" w:eastAsia=""/>
          <w:b w:val="false"/>
          <w:i w:val="false"/>
          <w:strike w:val="false"/>
          <w:color w:val=""/>
        </w:rPr>
        <w:t>Table 10 - Accounts Receivable - Prior Year Support Due and Received</w:t>
      </w:r>
      <w:r>
        <w:rPr>
          <w:rFonts w:ascii="" w:hAnsi="" w:cs="" w:eastAsia=""/>
          <w:b w:val="false"/>
          <w:i w:val="false"/>
          <w:strike w:val="false"/>
          <w:color w:val=""/>
        </w:rPr>
        <w:t>16</w:t>
      </w:r>
    </w:p>
    <w:p>
      <w:pPr>
        <w:pStyle w:val=""/>
        <w:jc w:val="both"/>
      </w:pPr>
      <w:r>
        <w:rPr>
          <w:rFonts w:ascii="" w:hAnsi="" w:cs="" w:eastAsia=""/>
          <w:b w:val="false"/>
          <w:i w:val="false"/>
          <w:strike w:val="false"/>
          <w:color w:val=""/>
        </w:rPr>
        <w:t>Table 11 - Accounts Receivable - Number of Orders for Prior Year</w:t>
      </w:r>
      <w:r>
        <w:rPr>
          <w:rFonts w:ascii="" w:hAnsi="" w:cs="" w:eastAsia=""/>
          <w:b w:val="false"/>
          <w:i w:val="false"/>
          <w:strike w:val="false"/>
          <w:color w:val=""/>
        </w:rPr>
        <w:t>17</w:t>
      </w:r>
    </w:p>
    <w:p>
      <w:pPr>
        <w:pStyle w:val=""/>
        <w:jc w:val="both"/>
      </w:pPr>
      <w:r>
        <w:rPr>
          <w:rFonts w:ascii="" w:hAnsi="" w:cs="" w:eastAsia=""/>
          <w:b w:val="false"/>
          <w:i w:val="false"/>
          <w:strike w:val="false"/>
          <w:color w:val=""/>
        </w:rPr>
        <w:t>Table 12 - Interstate Activity</w:t>
      </w:r>
      <w:r>
        <w:rPr>
          <w:rFonts w:ascii="" w:hAnsi="" w:cs="" w:eastAsia=""/>
          <w:b w:val="false"/>
          <w:i w:val="false"/>
          <w:strike w:val="false"/>
          <w:color w:val=""/>
        </w:rPr>
        <w:t>18</w:t>
      </w:r>
    </w:p>
    <w:p>
      <w:pPr>
        <w:pStyle w:val=""/>
        <w:jc w:val="both"/>
      </w:pPr>
      <w:r>
        <w:rPr>
          <w:rFonts w:ascii="" w:hAnsi="" w:cs="" w:eastAsia=""/>
          <w:b w:val="true"/>
          <w:i w:val="false"/>
          <w:strike w:val="false"/>
          <w:color w:val=""/>
        </w:rPr>
        <w:t>Program Box Scores</w:t>
      </w:r>
      <w:r>
        <w:rPr>
          <w:rFonts w:ascii="" w:hAnsi="" w:cs="" w:eastAsia=""/>
          <w:b w:val="true"/>
          <w:i w:val="false"/>
          <w:strike w:val="false"/>
          <w:color w:val=""/>
        </w:rPr>
        <w:t xml:space="preserve"> 19</w:t>
      </w:r>
    </w:p>
    <w:p>
      <w:pPr>
        <w:pStyle w:val=""/>
        <w:jc w:val="both"/>
      </w:pPr>
      <w:r>
        <w:rPr>
          <w:rFonts w:ascii="" w:hAnsi="" w:cs="" w:eastAsia=""/>
          <w:b w:val="false"/>
          <w:i w:val="false"/>
          <w:strike w:val="false"/>
          <w:color w:val=""/>
        </w:rPr>
        <w:t>Regional Box Scores for FY 1998</w:t>
      </w:r>
      <w:r>
        <w:rPr>
          <w:rFonts w:ascii="" w:hAnsi="" w:cs="" w:eastAsia=""/>
          <w:b w:val="false"/>
          <w:i w:val="false"/>
          <w:strike w:val="false"/>
          <w:color w:val=""/>
        </w:rPr>
        <w:t>20</w:t>
      </w:r>
    </w:p>
    <w:p>
      <w:pPr>
        <w:pStyle w:val=""/>
        <w:jc w:val="both"/>
      </w:pPr>
      <w:r>
        <w:rPr>
          <w:rFonts w:ascii="" w:hAnsi="" w:cs="" w:eastAsia=""/>
          <w:b w:val="false"/>
          <w:i w:val="false"/>
          <w:strike w:val="false"/>
          <w:color w:val=""/>
        </w:rPr>
        <w:t>Regional Scores:</w:t>
      </w:r>
    </w:p>
    <w:p>
      <w:pPr>
        <w:pStyle w:val=""/>
        <w:jc w:val="both"/>
      </w:pPr>
      <w:r>
        <w:rPr>
          <w:rFonts w:ascii="" w:hAnsi="" w:cs="" w:eastAsia=""/>
          <w:b w:val="false"/>
          <w:i w:val="false"/>
          <w:strike w:val="false"/>
          <w:color w:val=""/>
        </w:rPr>
        <w:t>Region I - Region VI</w:t>
      </w:r>
      <w:r>
        <w:rPr>
          <w:rFonts w:ascii="" w:hAnsi="" w:cs="" w:eastAsia=""/>
          <w:b w:val="false"/>
          <w:i w:val="false"/>
          <w:strike w:val="false"/>
          <w:color w:val=""/>
        </w:rPr>
        <w:t>22</w:t>
      </w:r>
    </w:p>
    <w:p>
      <w:pPr>
        <w:pStyle w:val=""/>
        <w:jc w:val="both"/>
      </w:pPr>
      <w:r>
        <w:rPr>
          <w:rFonts w:ascii="" w:hAnsi="" w:cs="" w:eastAsia=""/>
          <w:b w:val="false"/>
          <w:i w:val="false"/>
          <w:strike w:val="false"/>
          <w:color w:val=""/>
        </w:rPr>
        <w:t>Region VII - Region X and Nationwide</w:t>
      </w:r>
      <w:r>
        <w:rPr>
          <w:rFonts w:ascii="" w:hAnsi="" w:cs="" w:eastAsia=""/>
          <w:b w:val="false"/>
          <w:i w:val="false"/>
          <w:strike w:val="false"/>
          <w:color w:val=""/>
        </w:rPr>
        <w:t>23</w:t>
      </w:r>
    </w:p>
    <w:p>
      <w:pPr>
        <w:pStyle w:val=""/>
        <w:jc w:val="both"/>
      </w:pPr>
      <w:r>
        <w:rPr>
          <w:rFonts w:ascii="" w:hAnsi="" w:cs="" w:eastAsia=""/>
          <w:b w:val="false"/>
          <w:i w:val="false"/>
          <w:strike w:val="false"/>
          <w:color w:val=""/>
        </w:rPr>
        <w:t>State Scores:</w:t>
      </w:r>
    </w:p>
    <w:p>
      <w:pPr>
        <w:pStyle w:val=""/>
        <w:jc w:val="both"/>
      </w:pPr>
      <w:r>
        <w:rPr>
          <w:rFonts w:ascii="" w:hAnsi="" w:cs="" w:eastAsia=""/>
          <w:b w:val="false"/>
          <w:i w:val="false"/>
          <w:strike w:val="false"/>
          <w:color w:val=""/>
        </w:rPr>
        <w:t>Alabama - Colorado</w:t>
      </w:r>
      <w:r>
        <w:rPr>
          <w:rFonts w:ascii="" w:hAnsi="" w:cs="" w:eastAsia=""/>
          <w:b w:val="false"/>
          <w:i w:val="false"/>
          <w:strike w:val="false"/>
          <w:color w:val=""/>
        </w:rPr>
        <w:t>24</w:t>
      </w:r>
    </w:p>
    <w:p>
      <w:pPr>
        <w:pStyle w:val=""/>
        <w:jc w:val="both"/>
      </w:pPr>
      <w:r>
        <w:rPr>
          <w:rFonts w:ascii="" w:hAnsi="" w:cs="" w:eastAsia=""/>
          <w:b w:val="false"/>
          <w:i w:val="false"/>
          <w:strike w:val="false"/>
          <w:color w:val=""/>
        </w:rPr>
        <w:t>Connecticut - Guam</w:t>
      </w:r>
      <w:r>
        <w:rPr>
          <w:rFonts w:ascii="" w:hAnsi="" w:cs="" w:eastAsia=""/>
          <w:b w:val="false"/>
          <w:i w:val="false"/>
          <w:strike w:val="false"/>
          <w:color w:val=""/>
        </w:rPr>
        <w:t>25</w:t>
      </w:r>
    </w:p>
    <w:p>
      <w:pPr>
        <w:pStyle w:val=""/>
        <w:jc w:val="both"/>
      </w:pPr>
      <w:r>
        <w:rPr>
          <w:rFonts w:ascii="" w:hAnsi="" w:cs="" w:eastAsia=""/>
          <w:b w:val="false"/>
          <w:i w:val="false"/>
          <w:strike w:val="false"/>
          <w:color w:val=""/>
        </w:rPr>
        <w:t>Hawaii - Kansas</w:t>
      </w:r>
      <w:r>
        <w:rPr>
          <w:rFonts w:ascii="" w:hAnsi="" w:cs="" w:eastAsia=""/>
          <w:b w:val="false"/>
          <w:i w:val="false"/>
          <w:strike w:val="false"/>
          <w:color w:val=""/>
        </w:rPr>
        <w:t>26</w:t>
      </w:r>
    </w:p>
    <w:p>
      <w:pPr>
        <w:pStyle w:val=""/>
        <w:jc w:val="both"/>
      </w:pPr>
      <w:r>
        <w:rPr>
          <w:rFonts w:ascii="" w:hAnsi="" w:cs="" w:eastAsia=""/>
          <w:b w:val="false"/>
          <w:i w:val="false"/>
          <w:strike w:val="false"/>
          <w:color w:val=""/>
        </w:rPr>
        <w:t>Kentucky - Michigan</w:t>
      </w:r>
      <w:r>
        <w:rPr>
          <w:rFonts w:ascii="" w:hAnsi="" w:cs="" w:eastAsia=""/>
          <w:b w:val="false"/>
          <w:i w:val="false"/>
          <w:strike w:val="false"/>
          <w:color w:val=""/>
        </w:rPr>
        <w:t>27</w:t>
      </w:r>
    </w:p>
    <w:p>
      <w:pPr>
        <w:pStyle w:val=""/>
        <w:jc w:val="both"/>
      </w:pPr>
      <w:r>
        <w:rPr>
          <w:rFonts w:ascii="" w:hAnsi="" w:cs="" w:eastAsia=""/>
          <w:b w:val="false"/>
          <w:i w:val="false"/>
          <w:strike w:val="false"/>
          <w:color w:val=""/>
        </w:rPr>
        <w:t>Minnesota - Nevada</w:t>
      </w:r>
      <w:r>
        <w:rPr>
          <w:rFonts w:ascii="" w:hAnsi="" w:cs="" w:eastAsia=""/>
          <w:b w:val="false"/>
          <w:i w:val="false"/>
          <w:strike w:val="false"/>
          <w:color w:val=""/>
        </w:rPr>
        <w:t>28</w:t>
      </w:r>
    </w:p>
    <w:p>
      <w:pPr>
        <w:pStyle w:val=""/>
        <w:jc w:val="both"/>
      </w:pPr>
      <w:r>
        <w:rPr>
          <w:rFonts w:ascii="" w:hAnsi="" w:cs="" w:eastAsia=""/>
          <w:b w:val="false"/>
          <w:i w:val="false"/>
          <w:strike w:val="false"/>
          <w:color w:val=""/>
        </w:rPr>
        <w:t>New Hampshire - North Dakota</w:t>
      </w:r>
      <w:r>
        <w:rPr>
          <w:rFonts w:ascii="" w:hAnsi="" w:cs="" w:eastAsia=""/>
          <w:b w:val="false"/>
          <w:i w:val="false"/>
          <w:strike w:val="false"/>
          <w:color w:val=""/>
        </w:rPr>
        <w:t>29</w:t>
      </w:r>
    </w:p>
    <w:p>
      <w:pPr>
        <w:pStyle w:val=""/>
        <w:jc w:val="both"/>
      </w:pPr>
      <w:r>
        <w:rPr>
          <w:rFonts w:ascii="" w:hAnsi="" w:cs="" w:eastAsia=""/>
          <w:b w:val="false"/>
          <w:i w:val="false"/>
          <w:strike w:val="false"/>
          <w:color w:val=""/>
        </w:rPr>
        <w:t>Ohio - Rhode Island</w:t>
      </w:r>
      <w:r>
        <w:rPr>
          <w:rFonts w:ascii="" w:hAnsi="" w:cs="" w:eastAsia=""/>
          <w:b w:val="false"/>
          <w:i w:val="false"/>
          <w:strike w:val="false"/>
          <w:color w:val=""/>
        </w:rPr>
        <w:t>30</w:t>
      </w:r>
    </w:p>
    <w:p>
      <w:pPr>
        <w:pStyle w:val=""/>
        <w:jc w:val="both"/>
      </w:pPr>
      <w:r>
        <w:rPr>
          <w:rFonts w:ascii="" w:hAnsi="" w:cs="" w:eastAsia=""/>
          <w:b w:val="false"/>
          <w:i w:val="false"/>
          <w:strike w:val="false"/>
          <w:color w:val=""/>
        </w:rPr>
        <w:t>South Carolina - Vermont</w:t>
      </w:r>
      <w:r>
        <w:rPr>
          <w:rFonts w:ascii="" w:hAnsi="" w:cs="" w:eastAsia=""/>
          <w:b w:val="false"/>
          <w:i w:val="false"/>
          <w:strike w:val="false"/>
          <w:color w:val=""/>
        </w:rPr>
        <w:t>31</w:t>
      </w:r>
    </w:p>
    <w:p>
      <w:pPr>
        <w:pStyle w:val=""/>
        <w:jc w:val="both"/>
      </w:pPr>
      <w:r>
        <w:rPr>
          <w:rFonts w:ascii="" w:hAnsi="" w:cs="" w:eastAsia=""/>
          <w:b w:val="false"/>
          <w:i w:val="false"/>
          <w:strike w:val="false"/>
          <w:color w:val=""/>
        </w:rPr>
        <w:t>Virgin Islands - Wyoming</w:t>
      </w:r>
      <w:r>
        <w:rPr>
          <w:rFonts w:ascii="" w:hAnsi="" w:cs="" w:eastAsia=""/>
          <w:b w:val="false"/>
          <w:i w:val="false"/>
          <w:strike w:val="false"/>
          <w:color w:val=""/>
        </w:rPr>
        <w:t>32</w:t>
      </w:r>
    </w:p>
    <w:p>
      <w:pPr>
        <w:pStyle w:val=""/>
        <w:jc w:val="both"/>
      </w:pPr>
      <w:r>
        <w:rPr>
          <w:rFonts w:ascii="" w:hAnsi="" w:cs="" w:eastAsia=""/>
          <w:b w:val="true"/>
          <w:i w:val="false"/>
          <w:strike w:val="false"/>
          <w:color w:val=""/>
        </w:rPr>
        <w:t>Program Charts and Graph</w:t>
      </w:r>
      <w:r>
        <w:rPr>
          <w:rFonts w:ascii="" w:hAnsi="" w:cs="" w:eastAsia=""/>
          <w:b w:val="true"/>
          <w:i w:val="false"/>
          <w:strike w:val="false"/>
          <w:color w:val=""/>
        </w:rPr>
        <w:t>33</w:t>
      </w:r>
    </w:p>
    <w:p>
      <w:pPr>
        <w:pStyle w:val=""/>
        <w:jc w:val="both"/>
      </w:pPr>
      <w:r>
        <w:rPr>
          <w:rFonts w:ascii="" w:hAnsi="" w:cs="" w:eastAsia=""/>
          <w:b w:val="false"/>
          <w:i w:val="false"/>
          <w:strike w:val="false"/>
          <w:color w:val=""/>
        </w:rPr>
        <w:t xml:space="preserve">Program Charts and Graphs for FY 1998 </w:t>
      </w:r>
    </w:p>
    <w:p>
      <w:pPr>
        <w:pStyle w:val=""/>
        <w:jc w:val="both"/>
      </w:pPr>
      <w:r>
        <w:rPr>
          <w:rFonts w:ascii="" w:hAnsi="" w:cs="" w:eastAsia=""/>
          <w:b w:val="false"/>
          <w:i w:val="false"/>
          <w:strike w:val="false"/>
          <w:color w:val=""/>
        </w:rPr>
        <w:t>Figure   1 - Total Collections, FY 1998</w:t>
      </w:r>
      <w:r>
        <w:rPr>
          <w:rFonts w:ascii="" w:hAnsi="" w:cs="" w:eastAsia=""/>
          <w:b w:val="false"/>
          <w:i w:val="false"/>
          <w:strike w:val="false"/>
          <w:color w:val=""/>
        </w:rPr>
        <w:t>34</w:t>
      </w:r>
    </w:p>
    <w:p>
      <w:pPr>
        <w:pStyle w:val=""/>
        <w:jc w:val="both"/>
      </w:pPr>
      <w:r>
        <w:rPr>
          <w:rFonts w:ascii="" w:hAnsi="" w:cs="" w:eastAsia=""/>
          <w:b w:val="false"/>
          <w:i w:val="false"/>
          <w:strike w:val="false"/>
          <w:color w:val=""/>
        </w:rPr>
        <w:t>Figure   2 - Total Collections, FY 1994 -1998</w:t>
      </w:r>
      <w:r>
        <w:rPr>
          <w:rFonts w:ascii="" w:hAnsi="" w:cs="" w:eastAsia=""/>
          <w:b w:val="false"/>
          <w:i w:val="false"/>
          <w:strike w:val="false"/>
          <w:color w:val=""/>
        </w:rPr>
        <w:t>35</w:t>
      </w:r>
    </w:p>
    <w:p>
      <w:pPr>
        <w:pStyle w:val=""/>
        <w:jc w:val="both"/>
      </w:pPr>
      <w:r>
        <w:rPr>
          <w:rFonts w:ascii="" w:hAnsi="" w:cs="" w:eastAsia=""/>
          <w:b w:val="false"/>
          <w:i w:val="false"/>
          <w:strike w:val="false"/>
          <w:color w:val=""/>
        </w:rPr>
        <w:t>Figure   3 - TANF Collections, FY 1998</w:t>
      </w:r>
      <w:r>
        <w:rPr>
          <w:rFonts w:ascii="" w:hAnsi="" w:cs="" w:eastAsia=""/>
          <w:b w:val="false"/>
          <w:i w:val="false"/>
          <w:strike w:val="false"/>
          <w:color w:val=""/>
        </w:rPr>
        <w:t>36</w:t>
      </w:r>
    </w:p>
    <w:p>
      <w:pPr>
        <w:pStyle w:val=""/>
        <w:jc w:val="both"/>
      </w:pPr>
      <w:r>
        <w:rPr>
          <w:rFonts w:ascii="" w:hAnsi="" w:cs="" w:eastAsia=""/>
          <w:b w:val="false"/>
          <w:i w:val="false"/>
          <w:strike w:val="false"/>
          <w:color w:val=""/>
        </w:rPr>
        <w:t>Figure   4 - CS Collected per Paying Case, FY 1994 -1998</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2018-05-09T20:19:18Z</dcterms:created>
  <dc:creator>Apache POI</dc:creator>
</cp:coreProperties>
</file>