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r>
        <w:rPr>
          <w:rFonts w:ascii="" w:hAnsi="" w:cs="" w:eastAsia=""/>
          <w:b w:val="false"/>
          <w:i w:val="false"/>
          <w:strike w:val="false"/>
          <w:color w:val=""/>
          <w:sz w:val="28"/>
        </w:rPr>
        <w:t/>
      </w:r>
    </w:p>
    <w:p>
      <w:pPr>
        <w:pStyle w:val="Heading1"/>
        <w:jc w:val="center"/>
      </w:pPr>
      <w:r>
        <w:rPr>
          <w:rFonts w:ascii="" w:hAnsi="" w:cs="" w:eastAsia=""/>
          <w:b w:val="false"/>
          <w:i w:val="false"/>
          <w:strike w:val="false"/>
          <w:color w:val=""/>
          <w:sz w:val="28"/>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FF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0"/>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p>
    <w:p>
      <w:pPr>
        <w:pStyle w:val=""/>
        <w:jc w:val="left"/>
      </w:pPr>
      <w:r>
        <w:rPr>
          <w:rFonts w:ascii="" w:hAnsi="" w:cs="" w:eastAsia=""/>
          <w:b w:val="false"/>
          <w:i w:val="false"/>
          <w:strike w:val="false"/>
          <w:color w:val="000000"/>
        </w:rPr>
        <w:t/>
      </w:r>
    </w:p>
    <w:p>
      <w:pPr>
        <w:pStyle w:val="Heading7"/>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Heading2"/>
        <w:jc w:val="left"/>
      </w:pPr>
      <w:r>
        <w:rPr>
          <w:rFonts w:ascii="Arial" w:hAnsi="Arial" w:cs="Arial" w:eastAsia="Arial"/>
          <w:b w:val="false"/>
          <w:i w:val="false"/>
          <w:strike w:val="false"/>
          <w:color w:val=""/>
          <w:sz w:val="22"/>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7"/>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7"/>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er"/>
        <w:jc w:val="left"/>
      </w:pPr>
      <w:r>
        <w:rPr>
          <w:rFonts w:ascii="Arial" w:hAnsi="Arial" w:cs="Arial" w:eastAsia="Arial"/>
          <w:b w:val="false"/>
          <w:i w:val="true"/>
          <w:strike w:val="false"/>
          <w:color w:val=""/>
          <w:sz w:val="22"/>
        </w:rPr>
        <w:t/>
      </w:r>
    </w:p>
    <w:p>
      <w:pPr>
        <w:pStyle w:val="Header"/>
        <w:jc w:val="left"/>
      </w:pPr>
      <w:r>
        <w:rPr>
          <w:rFonts w:ascii="Arial" w:hAnsi="Arial" w:cs="Arial" w:eastAsia="Arial"/>
          <w:b w:val="false"/>
          <w:i w:val="false"/>
          <w:strike w:val="false"/>
          <w:color w:val=""/>
          <w:sz w:val="22"/>
        </w:rPr>
        <w:t/>
      </w:r>
    </w:p>
    <w:p>
      <w:pPr>
        <w:pStyle w:val="Header"/>
        <w:jc w:val="left"/>
      </w:pPr>
      <w:r>
        <w:rPr>
          <w:rFonts w:ascii="Arial" w:hAnsi="Arial" w:cs="Arial" w:eastAsia="Arial"/>
          <w:b w:val="false"/>
          <w:i w:val="true"/>
          <w:strike w:val="false"/>
          <w:color w:val=""/>
          <w:sz w:val="22"/>
        </w:rPr>
        <w:t/>
      </w:r>
    </w:p>
    <w:p>
      <w:pPr>
        <w:pStyle w:val="Header"/>
        <w:jc w:val="left"/>
      </w:pPr>
      <w:r>
        <w:rPr>
          <w:rFonts w:ascii="Arial" w:hAnsi="Arial" w:cs="Arial" w:eastAsia="Arial"/>
          <w:b w:val="false"/>
          <w:i w:val="false"/>
          <w:strike w:val="false"/>
          <w:color w:val=""/>
          <w:sz w:val="22"/>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our around individual pilings was noted to be on the order of 3.3 feet in depth.  The pilings in this case are 30 and 36 inches in diameter spaced 15 feet on center across the pier and 40 feet on center along its length.</w:t>
      </w:r>
    </w:p>
    <w:p>
      <w:pPr>
        <w:pStyle w:val=""/>
        <w:jc w:val="left"/>
      </w:pPr>
      <w:r>
        <w:rPr>
          <w:rFonts w:ascii="" w:hAnsi="" w:cs="" w:eastAsia=""/>
          <w:b w:val="false"/>
          <w:i w:val="false"/>
          <w:strike w:val="false"/>
          <w:color w:val=""/>
        </w:rPr>
        <w:t>In an engineering study related to Lagoon Pond on Martha’s Vineyard, MA, Poole (1987) suggests that, “At a wind angle of 90º to a 50-foot pier with 5 pilings on each side [diameter of pilings not noted–ed.] can [sic] produce eddy currents and flow friction 2 times the diameter of the pilings—minimally.  This means…a 30 percent reduction in flow.  The area or parallel shoreline affected by the flow reduction would be a factor of 2 to 3 times the pier length.  Properties within 100 feet to 150 feet of a 50–foot pier could be subjected to wrack algae accumulation, sand deposition and shellfish population changes.”  This evaluation cites no research results and appears to be based on predictive engineering calculations.</w:t>
      </w:r>
    </w:p>
    <w:p>
      <w:pPr>
        <w:pStyle w:val="Heading1"/>
        <w:jc w:val="left"/>
      </w:pPr>
      <w:r>
        <w:rPr>
          <w:rFonts w:ascii="" w:hAnsi="" w:cs="" w:eastAsia=""/>
          <w:b w:val="false"/>
          <w:i w:val="true"/>
          <w:strike w:val="false"/>
          <w:color w:val=""/>
        </w:rPr>
        <w:t>Disruption during pile installation—</w:t>
      </w:r>
    </w:p>
    <w:p>
      <w:pPr>
        <w:pStyle w:val=""/>
        <w:jc w:val="left"/>
      </w:pPr>
      <w:r>
        <w:rPr>
          <w:rFonts w:ascii="" w:hAnsi="" w:cs="" w:eastAsia=""/>
          <w:b w:val="false"/>
          <w:i w:val="false"/>
          <w:strike w:val="false"/>
          <w:color w:val=""/>
        </w:rPr>
        <w:t>Anecdotal evidence suggests that the method of piling installation can produce changes in sediment type and bottom morphology in the vicinity of a dock (Ziencina, 2002 pers. com.)  Jetting of pilings (jetting uses a high pressure water pump to blow a deep hole in the bottom. The piling is set into the hole and sand packs back around the piling) tends to cause greater disruption than driving piles with a drop hammer.  Jetting suspends sediments and can disrupt adjacent vegetation resulting in bare areas around pilings that are subject to scour.  Shaefer (2001) found bare areas with a diameter of 35–78 inches around pilings in St. Andrew Bay, FL.   Using a low pressure pump to produce a starter hole and subsequent insertion of a sharpened pile with a drop hammer in a sandy area “reduces the physical removal and disturbance” of seagrasses in the area of the piling and results in little to no sand deposition around the pilings (Shaefer, 2001)</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xml:space="preserve"> 1975; Zieman, 1976; Eleuteruis, 1987; Kruer, 1998; Burdick and Short, 1999); impacts that may take years to heal.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xml:space="preserve">Albers, P.H., 2002. Sources, fate, and effects of PAHs in shallow water environments: a review with special reference to small watercraft.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 </w:t>
      </w:r>
    </w:p>
    <w:p>
      <w:pPr>
        <w:pStyle w:val="BodyTextIndent"/>
        <w:jc w:val="left"/>
      </w:pPr>
      <w:r>
        <w:rPr>
          <w:rFonts w:ascii="Arial" w:hAnsi="Arial" w:cs="Arial" w:eastAsia="Arial"/>
          <w:b w:val="false"/>
          <w:i w:val="false"/>
          <w:strike w:val="false"/>
          <w:color w:val=""/>
          <w:sz w:val="22"/>
        </w:rPr>
        <w:t xml:space="preserve">Alexander, C. R. and M.H. Robinson.  2004.  </w:t>
      </w:r>
      <w:r>
        <w:rPr>
          <w:rFonts w:ascii="Arial" w:hAnsi="Arial" w:cs="Arial" w:eastAsia="Arial"/>
          <w:b w:val="false"/>
          <w:i w:val="true"/>
          <w:strike w:val="false"/>
          <w:color w:val=""/>
          <w:sz w:val="22"/>
        </w:rPr>
        <w:t>GIS and Field-Based Analysis of the Impacts of Recreational Docks on the Saltmarshes of Georgia.</w:t>
      </w:r>
      <w:r>
        <w:rPr>
          <w:rFonts w:ascii="Arial" w:hAnsi="Arial" w:cs="Arial" w:eastAsia="Arial"/>
          <w:b w:val="false"/>
          <w:i w:val="false"/>
          <w:strike w:val="false"/>
          <w:color w:val=""/>
          <w:sz w:val="22"/>
        </w:rPr>
        <w:t xml:space="preserve">  Final Report prepared for the Georgia Coastal Zone Management Program.  40 pp.</w:t>
      </w:r>
    </w:p>
    <w:p>
      <w:pPr>
        <w:pStyle w:val="BodyTextIndent"/>
        <w:jc w:val="left"/>
      </w:pPr>
      <w:r>
        <w:rPr>
          <w:rFonts w:ascii="Arial" w:hAnsi="Arial" w:cs="Arial" w:eastAsia="Arial"/>
          <w:b w:val="false"/>
          <w:i w:val="false"/>
          <w:strike w:val="false"/>
          <w:color w:val=""/>
          <w:sz w:val="22"/>
        </w:rPr>
        <w:t xml:space="preserve">Anderson, Franz.  2000. </w:t>
      </w:r>
      <w:r>
        <w:rPr>
          <w:rFonts w:ascii="Arial" w:hAnsi="Arial" w:cs="Arial" w:eastAsia="Arial"/>
          <w:b w:val="false"/>
          <w:i w:val="true"/>
          <w:strike w:val="false"/>
          <w:color w:val=""/>
          <w:sz w:val="22"/>
        </w:rPr>
        <w:t xml:space="preserve"> Effect of Wave-wash from Personal Watercraft on Salt Marshes</w:t>
      </w:r>
      <w:r>
        <w:rPr>
          <w:rFonts w:ascii="Arial" w:hAnsi="Arial" w:cs="Arial" w:eastAsia="Arial"/>
          <w:b w:val="false"/>
          <w:i w:val="false"/>
          <w:strike w:val="false"/>
          <w:color w:val=""/>
          <w:sz w:val="22"/>
        </w:rPr>
        <w:t xml:space="preserve">.  A final report submitted to the NOAA/UNH Cooperative Institute for Coastal and Estuarine Environmental Technology (CICEET).  </w:t>
      </w:r>
    </w:p>
    <w:p>
      <w:pPr>
        <w:pStyle w:val="BodyTextIndent"/>
        <w:jc w:val="left"/>
      </w:pPr>
      <w:r>
        <w:rPr>
          <w:rFonts w:ascii="Arial" w:hAnsi="Arial" w:cs="Arial" w:eastAsia="Arial"/>
          <w:b w:val="false"/>
          <w:i w:val="false"/>
          <w:strike w:val="false"/>
          <w:color w:val=""/>
          <w:sz w:val="22"/>
        </w:rPr>
        <w:t xml:space="preserve">Beal, J.L., B.S. Schmit, and S.L. Williams.  1999  </w:t>
      </w:r>
      <w:r>
        <w:rPr>
          <w:rFonts w:ascii="Arial" w:hAnsi="Arial" w:cs="Arial" w:eastAsia="Arial"/>
          <w:b w:val="false"/>
          <w:i w:val="true"/>
          <w:strike w:val="false"/>
          <w:color w:val=""/>
          <w:sz w:val="22"/>
        </w:rPr>
        <w:t xml:space="preserve">The effects of dock height and alternative construction materials on light irradiance (PAR) and seagrass </w:t>
      </w:r>
      <w:r>
        <w:rPr>
          <w:rFonts w:ascii="Arial" w:hAnsi="Arial" w:cs="Arial" w:eastAsia="Arial"/>
          <w:b w:val="false"/>
          <w:i w:val="true"/>
          <w:strike w:val="false"/>
          <w:color w:val=""/>
          <w:sz w:val="22"/>
        </w:rPr>
        <w:t>Halodule wrightii</w:t>
      </w:r>
      <w:r>
        <w:rPr>
          <w:rFonts w:ascii="Arial" w:hAnsi="Arial" w:cs="Arial" w:eastAsia="Arial"/>
          <w:b w:val="false"/>
          <w:i w:val="true"/>
          <w:strike w:val="false"/>
          <w:color w:val=""/>
          <w:sz w:val="22"/>
        </w:rPr>
        <w:t xml:space="preserve"> and </w:t>
      </w:r>
      <w:r>
        <w:rPr>
          <w:rFonts w:ascii="Arial" w:hAnsi="Arial" w:cs="Arial" w:eastAsia="Arial"/>
          <w:b w:val="false"/>
          <w:i w:val="true"/>
          <w:strike w:val="false"/>
          <w:color w:val=""/>
          <w:sz w:val="22"/>
        </w:rPr>
        <w:t>Syringodium filiforme</w:t>
      </w:r>
      <w:r>
        <w:rPr>
          <w:rFonts w:ascii="Arial" w:hAnsi="Arial" w:cs="Arial" w:eastAsia="Arial"/>
          <w:b w:val="false"/>
          <w:i w:val="true"/>
          <w:strike w:val="false"/>
          <w:color w:val=""/>
          <w:sz w:val="22"/>
        </w:rPr>
        <w:t xml:space="preserve"> cover</w:t>
      </w:r>
      <w:r>
        <w:rPr>
          <w:rFonts w:ascii="Arial" w:hAnsi="Arial" w:cs="Arial" w:eastAsia="Arial"/>
          <w:b w:val="false"/>
          <w:i w:val="false"/>
          <w:strike w:val="false"/>
          <w:color w:val=""/>
          <w:sz w:val="22"/>
        </w:rPr>
        <w:t>.  Florida Department of Environmental Protection, Office of Coastal and Aquatic Managed Areas (CAMA).  CAMA notes.</w:t>
      </w:r>
    </w:p>
    <w:p>
      <w:pPr>
        <w:pStyle w:val=""/>
        <w:jc w:val="left"/>
      </w:pPr>
      <w:r>
        <w:rPr>
          <w:rFonts w:ascii="" w:hAnsi="" w:cs="" w:eastAsia=""/>
          <w:b w:val="false"/>
          <w:i w:val="false"/>
          <w:strike w:val="false"/>
          <w:color w:val=""/>
        </w:rPr>
        <w:t xml:space="preserve">Brooks, K.M.  1996.  Evaluating the environmental risks associated with the use of chromated copper arsenate-treated wood products in aquatic environments.  </w:t>
      </w:r>
      <w:r>
        <w:rPr>
          <w:rFonts w:ascii="" w:hAnsi="" w:cs="" w:eastAsia=""/>
          <w:b w:val="false"/>
          <w:i w:val="true"/>
          <w:strike w:val="false"/>
          <w:color w:val=""/>
        </w:rPr>
        <w:t>Estuaries</w:t>
      </w:r>
      <w:r>
        <w:rPr>
          <w:rFonts w:ascii="" w:hAnsi="" w:cs="" w:eastAsia=""/>
          <w:b w:val="false"/>
          <w:i w:val="false"/>
          <w:strike w:val="false"/>
          <w:color w:val=""/>
        </w:rPr>
        <w:t xml:space="preserve"> 19:296–305.</w:t>
      </w:r>
    </w:p>
    <w:p>
      <w:pPr>
        <w:pStyle w:val="BodyTextIndent3"/>
        <w:jc w:val="left"/>
      </w:pPr>
      <w:r>
        <w:rPr>
          <w:rFonts w:ascii="Arial" w:hAnsi="Arial" w:cs="Arial" w:eastAsia="Arial"/>
          <w:b w:val="false"/>
          <w:i w:val="false"/>
          <w:strike w:val="false"/>
          <w:color w:val=""/>
          <w:sz w:val="22"/>
        </w:rPr>
        <w:t xml:space="preserve">Burdick, D.M. and F.T. Short.  1998.  </w:t>
      </w:r>
      <w:r>
        <w:rPr>
          <w:rFonts w:ascii="Arial" w:hAnsi="Arial" w:cs="Arial" w:eastAsia="Arial"/>
          <w:b w:val="false"/>
          <w:i w:val="true"/>
          <w:strike w:val="false"/>
          <w:color w:val=""/>
          <w:sz w:val="22"/>
        </w:rPr>
        <w:t>Dock Design with the Environment in Mind: Minimizing Dock Impacts to Eelgrass Habitats.</w:t>
      </w:r>
      <w:r>
        <w:rPr>
          <w:rFonts w:ascii="Arial" w:hAnsi="Arial" w:cs="Arial" w:eastAsia="Arial"/>
          <w:b w:val="false"/>
          <w:i w:val="false"/>
          <w:strike w:val="false"/>
          <w:color w:val=""/>
          <w:sz w:val="22"/>
        </w:rPr>
        <w:t xml:space="preserve"> An interactive CD ROM published by the University of New Hampshire, Durham, NH.</w:t>
      </w:r>
    </w:p>
    <w:p>
      <w:pPr>
        <w:pStyle w:val="BodyTextIndent"/>
        <w:jc w:val="left"/>
      </w:pPr>
      <w:r>
        <w:rPr>
          <w:rFonts w:ascii="Arial" w:hAnsi="Arial" w:cs="Arial" w:eastAsia="Arial"/>
          <w:b w:val="false"/>
          <w:i w:val="false"/>
          <w:strike w:val="false"/>
          <w:color w:val=""/>
          <w:sz w:val="22"/>
        </w:rPr>
        <w:t xml:space="preserve">Burdick, D.M. and F.T.  Short. 1999.  The Effects of Boat Docks on Eelgrass Beds in Coastal Waters of Massachusetts.  </w:t>
      </w:r>
      <w:r>
        <w:rPr>
          <w:rFonts w:ascii="Arial" w:hAnsi="Arial" w:cs="Arial" w:eastAsia="Arial"/>
          <w:b w:val="false"/>
          <w:i w:val="true"/>
          <w:strike w:val="false"/>
          <w:color w:val=""/>
          <w:sz w:val="22"/>
        </w:rPr>
        <w:t>Environmental Management</w:t>
      </w:r>
      <w:r>
        <w:rPr>
          <w:rFonts w:ascii="Arial" w:hAnsi="Arial" w:cs="Arial" w:eastAsia="Arial"/>
          <w:b w:val="false"/>
          <w:i w:val="false"/>
          <w:strike w:val="false"/>
          <w:color w:val=""/>
          <w:sz w:val="22"/>
        </w:rPr>
        <w:t>, 23: 231–240.</w:t>
      </w:r>
    </w:p>
    <w:p>
      <w:pPr>
        <w:pStyle w:val="BodyTextIndent"/>
        <w:jc w:val="left"/>
      </w:pPr>
      <w:r>
        <w:rPr>
          <w:rFonts w:ascii="Arial" w:hAnsi="Arial" w:cs="Arial" w:eastAsia="Arial"/>
          <w:b w:val="false"/>
          <w:i w:val="false"/>
          <w:strike w:val="false"/>
          <w:color w:val=""/>
          <w:sz w:val="22"/>
        </w:rPr>
        <w:t xml:space="preserve">Burns, Max.  1999.  </w:t>
      </w:r>
      <w:r>
        <w:rPr>
          <w:rFonts w:ascii="Arial" w:hAnsi="Arial" w:cs="Arial" w:eastAsia="Arial"/>
          <w:b w:val="false"/>
          <w:i w:val="true"/>
          <w:strike w:val="false"/>
          <w:color w:val=""/>
          <w:sz w:val="22"/>
        </w:rPr>
        <w:t>The Dock Manual</w:t>
      </w:r>
      <w:r>
        <w:rPr>
          <w:rFonts w:ascii="Arial" w:hAnsi="Arial" w:cs="Arial" w:eastAsia="Arial"/>
          <w:b w:val="false"/>
          <w:i w:val="false"/>
          <w:strike w:val="false"/>
          <w:color w:val=""/>
          <w:sz w:val="22"/>
        </w:rPr>
        <w:t>.  Storey Books, Schoolhouse Road, Pownal, Vermont 05261.  (800) 793-9396. 201 pp.</w:t>
      </w:r>
    </w:p>
    <w:p>
      <w:pPr>
        <w:pStyle w:val="BodyTextIndent2"/>
        <w:jc w:val="left"/>
      </w:pPr>
      <w:r>
        <w:rPr>
          <w:rFonts w:ascii="" w:hAnsi="" w:cs="" w:eastAsia=""/>
          <w:b w:val="false"/>
          <w:i w:val="false"/>
          <w:strike w:val="false"/>
          <w:color w:val=""/>
        </w:rPr>
        <w:t xml:space="preserve">Camfield, F. E., R.E.L. Ray, and J.W. Eckert.  1980.  </w:t>
      </w:r>
      <w:r>
        <w:rPr>
          <w:rFonts w:ascii="" w:hAnsi="" w:cs="" w:eastAsia=""/>
          <w:b w:val="false"/>
          <w:i w:val="true"/>
          <w:strike w:val="false"/>
          <w:color w:val=""/>
        </w:rPr>
        <w:t>The Possible Impact of Vessel Wakes on Bank Erosion</w:t>
      </w:r>
      <w:r>
        <w:rPr>
          <w:rFonts w:ascii="" w:hAnsi="" w:cs="" w:eastAsia=""/>
          <w:b w:val="false"/>
          <w:i w:val="false"/>
          <w:strike w:val="false"/>
          <w:color w:val=""/>
        </w:rPr>
        <w:t>.  Prepared by USACOE, Fort Belvoir, Virginia, for US Department of Transportation and US Coast Guard, Washington, D.C.  Report No. USCG–W–1–80  114 pp. NTIS No. ADA</w:t>
      </w:r>
      <w:r>
        <w:rPr>
          <w:rFonts w:ascii="" w:hAnsi="" w:cs="" w:eastAsia=""/>
          <w:b w:val="false"/>
          <w:i w:val="false"/>
          <w:strike w:val="false"/>
          <w:color w:val=""/>
        </w:rPr>
        <w:t>083</w:t>
      </w:r>
      <w:r>
        <w:rPr>
          <w:rFonts w:ascii="" w:hAnsi="" w:cs="" w:eastAsia=""/>
          <w:b w:val="false"/>
          <w:i w:val="false"/>
          <w:strike w:val="false"/>
          <w:color w:val=""/>
        </w:rPr>
        <w:t xml:space="preserve">896. </w:t>
      </w:r>
    </w:p>
    <w:p>
      <w:pPr>
        <w:pStyle w:val="BodyTextIndent"/>
        <w:jc w:val="left"/>
      </w:pPr>
      <w:r>
        <w:rPr>
          <w:rFonts w:ascii="Arial" w:hAnsi="Arial" w:cs="Arial" w:eastAsia="Arial"/>
          <w:b w:val="false"/>
          <w:i w:val="false"/>
          <w:strike w:val="false"/>
          <w:color w:val=""/>
          <w:sz w:val="22"/>
        </w:rPr>
        <w:t xml:space="preserve">Colligan, Mary and Cori Collins.  1995.  </w:t>
      </w:r>
      <w:r>
        <w:rPr>
          <w:rFonts w:ascii="Arial" w:hAnsi="Arial" w:cs="Arial" w:eastAsia="Arial"/>
          <w:b w:val="false"/>
          <w:i w:val="true"/>
          <w:strike w:val="false"/>
          <w:color w:val=""/>
          <w:sz w:val="22"/>
        </w:rPr>
        <w:t>The Effect of Open-Pile Structures on Salt Marsh Vegetation.</w:t>
      </w:r>
      <w:r>
        <w:rPr>
          <w:rFonts w:ascii="Arial" w:hAnsi="Arial" w:cs="Arial" w:eastAsia="Arial"/>
          <w:b w:val="false"/>
          <w:i w:val="false"/>
          <w:strike w:val="false"/>
          <w:color w:val=""/>
          <w:sz w:val="22"/>
        </w:rPr>
        <w:t xml:space="preserve"> NOAA/NMFS Habitat and Protected Resources Division.  Pre-publication copy–not for distribution.  44p.</w:t>
      </w:r>
    </w:p>
    <w:p>
      <w:pPr>
        <w:pStyle w:val=""/>
        <w:jc w:val="left"/>
      </w:pPr>
      <w:r>
        <w:rPr>
          <w:rFonts w:ascii="" w:hAnsi="" w:cs="" w:eastAsia=""/>
          <w:b w:val="false"/>
          <w:i w:val="false"/>
          <w:strike w:val="false"/>
          <w:color w:val=""/>
        </w:rPr>
        <w:t xml:space="preserve">Cooper, P.A.  1990.  Leaching of CCA from Treated Wood.  </w:t>
      </w:r>
      <w:r>
        <w:rPr>
          <w:rFonts w:ascii="" w:hAnsi="" w:cs="" w:eastAsia=""/>
          <w:b w:val="false"/>
          <w:i w:val="true"/>
          <w:strike w:val="false"/>
          <w:color w:val=""/>
        </w:rPr>
        <w:t>Proc. Canadian Wood Preservation Association</w:t>
      </w:r>
      <w:r>
        <w:rPr>
          <w:rFonts w:ascii="" w:hAnsi="" w:cs="" w:eastAsia=""/>
          <w:b w:val="false"/>
          <w:i w:val="false"/>
          <w:strike w:val="false"/>
          <w:color w:val=""/>
        </w:rPr>
        <w:t xml:space="preserve"> II: 144–169.</w:t>
      </w:r>
    </w:p>
    <w:p>
      <w:pPr>
        <w:pStyle w:val="BodyTextIndent"/>
        <w:jc w:val="left"/>
      </w:pPr>
      <w:r>
        <w:rPr>
          <w:rFonts w:ascii="Arial" w:hAnsi="Arial" w:cs="Arial" w:eastAsia="Arial"/>
          <w:b w:val="false"/>
          <w:i w:val="false"/>
          <w:strike w:val="false"/>
          <w:color w:val=""/>
          <w:sz w:val="22"/>
        </w:rPr>
        <w:t xml:space="preserve">Crawford, R. N.Stolpe and M. Moore, Eds.  1998.  </w:t>
      </w:r>
      <w:r>
        <w:rPr>
          <w:rFonts w:ascii="Arial" w:hAnsi="Arial" w:cs="Arial" w:eastAsia="Arial"/>
          <w:b w:val="false"/>
          <w:i w:val="true"/>
          <w:strike w:val="false"/>
          <w:color w:val=""/>
          <w:sz w:val="22"/>
        </w:rPr>
        <w:t>The Environmental Impacts of Boating: Proceedings of a workshop held at Woods Hole Oceanographic Institution, Woods Hole, MA.  December 7–9 1994.</w:t>
      </w:r>
      <w:r>
        <w:rPr>
          <w:rFonts w:ascii="Arial" w:hAnsi="Arial" w:cs="Arial" w:eastAsia="Arial"/>
          <w:b w:val="false"/>
          <w:i w:val="false"/>
          <w:strike w:val="false"/>
          <w:color w:val=""/>
          <w:sz w:val="22"/>
        </w:rPr>
        <w:t xml:space="preserve"> Technical Report WHOI-98-03</w:t>
      </w:r>
    </w:p>
    <w:p>
      <w:pPr>
        <w:pStyle w:val=""/>
        <w:jc w:val="left"/>
      </w:pPr>
      <w:r>
        <w:rPr>
          <w:rFonts w:ascii="" w:hAnsi="" w:cs="" w:eastAsia=""/>
          <w:b w:val="false"/>
          <w:i w:val="false"/>
          <w:strike w:val="false"/>
          <w:color w:val=""/>
        </w:rPr>
        <w:t xml:space="preserve">Crawford, R.  1998.  Measuring Boating Effects of Turbidity in a Shallow Coastal Lagoon.  In </w:t>
      </w:r>
      <w:r>
        <w:rPr>
          <w:rFonts w:ascii="" w:hAnsi="" w:cs="" w:eastAsia=""/>
          <w:b w:val="false"/>
          <w:i w:val="true"/>
          <w:strike w:val="false"/>
          <w:color w:val=""/>
        </w:rPr>
        <w:t xml:space="preserve">The Environmental Impacts of Boating: Proceedings of a workshop held at Woods Hole </w:t>
      </w:r>
      <w:r>
        <w:rPr>
          <w:rFonts w:ascii="" w:hAnsi="" w:cs="" w:eastAsia=""/>
          <w:b w:val="false"/>
          <w:i w:val="true"/>
          <w:strike w:val="false"/>
          <w:color w:val=""/>
        </w:rPr>
        <w:t>Oceanographic Institution, Woods Hole, MA  December 7–9 1994</w:t>
      </w:r>
      <w:r>
        <w:rPr>
          <w:rFonts w:ascii="" w:hAnsi="" w:cs="" w:eastAsia=""/>
          <w:b w:val="false"/>
          <w:i w:val="false"/>
          <w:strike w:val="false"/>
          <w:color w:val=""/>
        </w:rPr>
        <w:t>.  Technical Report: WHOI-98-03.  R. Crawford, N. Stolpe and M.Moore. Eds.</w:t>
      </w:r>
    </w:p>
    <w:p>
      <w:pPr>
        <w:pStyle w:val=""/>
        <w:jc w:val="left"/>
      </w:pPr>
      <w:r>
        <w:rPr>
          <w:rFonts w:ascii="" w:hAnsi="" w:cs="" w:eastAsia=""/>
          <w:b w:val="false"/>
          <w:i w:val="false"/>
          <w:strike w:val="false"/>
          <w:color w:val=""/>
        </w:rPr>
        <w:t xml:space="preserve">Crawford, R. 2002.  Secondary Wake Turbidity From Small Boat Operation in a Shallow, Sandy Bay.  </w:t>
      </w:r>
      <w:r>
        <w:rPr>
          <w:rFonts w:ascii="" w:hAnsi="" w:cs="" w:eastAsia=""/>
          <w:b w:val="false"/>
          <w:i w:val="true"/>
          <w:strike w:val="false"/>
          <w:color w:val=""/>
        </w:rPr>
        <w:t>Journal of Coastal Research</w:t>
      </w:r>
      <w:r>
        <w:rPr>
          <w:rFonts w:ascii="" w:hAnsi="" w:cs="" w:eastAsia=""/>
          <w:b w:val="false"/>
          <w:i w:val="false"/>
          <w:strike w:val="false"/>
          <w:color w:val=""/>
        </w:rPr>
        <w:t xml:space="preserve"> Special Issue 37.</w:t>
      </w:r>
    </w:p>
    <w:p>
      <w:pPr>
        <w:pStyle w:val=""/>
        <w:jc w:val="left"/>
      </w:pPr>
      <w:r>
        <w:rPr>
          <w:rFonts w:ascii="" w:hAnsi="" w:cs="" w:eastAsia=""/>
          <w:b w:val="false"/>
          <w:i w:val="false"/>
          <w:strike w:val="false"/>
          <w:color w:val=""/>
        </w:rPr>
        <w:t xml:space="preserve">Dunton, Kenneth H. and Susan Schonberg.  2002.  Assesment of Propeller Scarring in Seagrass Beds of the South Texas Coast.  </w:t>
      </w:r>
      <w:r>
        <w:rPr>
          <w:rFonts w:ascii="" w:hAnsi="" w:cs="" w:eastAsia=""/>
          <w:b w:val="false"/>
          <w:i w:val="true"/>
          <w:strike w:val="false"/>
          <w:color w:val=""/>
        </w:rPr>
        <w:t xml:space="preserve">Journal of Coastal Research.  </w:t>
      </w:r>
      <w:r>
        <w:rPr>
          <w:rFonts w:ascii="" w:hAnsi="" w:cs="" w:eastAsia=""/>
          <w:b w:val="false"/>
          <w:i w:val="false"/>
          <w:strike w:val="false"/>
          <w:color w:val=""/>
        </w:rPr>
        <w:t>Special Issue 37.</w:t>
      </w:r>
    </w:p>
    <w:p>
      <w:pPr>
        <w:pStyle w:val=""/>
        <w:jc w:val="left"/>
      </w:pPr>
      <w:r>
        <w:rPr>
          <w:rFonts w:ascii="" w:hAnsi="" w:cs="" w:eastAsia=""/>
          <w:b w:val="false"/>
          <w:i w:val="false"/>
          <w:strike w:val="false"/>
          <w:color w:val=""/>
        </w:rPr>
        <w:t>Eluterius, L.N. 1987.  Seagrass ecology along the coasts of Alabama, Louisiana, and Mississippi.  In Durako, M.J., R.C. Phillips, and R.R. Lewis III (Eds.).</w:t>
      </w:r>
      <w:r>
        <w:rPr>
          <w:rFonts w:ascii="" w:hAnsi="" w:cs="" w:eastAsia=""/>
          <w:b w:val="false"/>
          <w:i w:val="true"/>
          <w:strike w:val="false"/>
          <w:color w:val=""/>
        </w:rPr>
        <w:t xml:space="preserve">Proceedings of the Symposion of Subtropical-tropical Seagrssses of the Southeastern United States.  </w:t>
      </w:r>
      <w:r>
        <w:rPr>
          <w:rFonts w:ascii="" w:hAnsi="" w:cs="" w:eastAsia=""/>
          <w:b w:val="false"/>
          <w:i w:val="false"/>
          <w:strike w:val="false"/>
          <w:color w:val=""/>
        </w:rPr>
        <w:t>Florida Marine Research Publications No. 42 pp. 11–24.</w:t>
      </w:r>
    </w:p>
    <w:p>
      <w:pPr>
        <w:pStyle w:val="BodyTextIndent2"/>
        <w:jc w:val="left"/>
      </w:pPr>
      <w:r>
        <w:rPr>
          <w:rFonts w:ascii="" w:hAnsi="" w:cs="" w:eastAsia=""/>
          <w:b w:val="false"/>
          <w:i w:val="false"/>
          <w:strike w:val="false"/>
          <w:color w:val=""/>
        </w:rPr>
        <w:t xml:space="preserve">Evert, C.H., and A.E. DeWall.  1975.  </w:t>
      </w:r>
      <w:r>
        <w:rPr>
          <w:rFonts w:ascii="" w:hAnsi="" w:cs="" w:eastAsia=""/>
          <w:b w:val="false"/>
          <w:i w:val="true"/>
          <w:strike w:val="false"/>
          <w:color w:val=""/>
        </w:rPr>
        <w:t>Coastal Sand Level Changes in North Carolina</w:t>
      </w:r>
      <w:r>
        <w:rPr>
          <w:rFonts w:ascii="" w:hAnsi="" w:cs="" w:eastAsia=""/>
          <w:b w:val="false"/>
          <w:i w:val="false"/>
          <w:strike w:val="false"/>
          <w:color w:val=""/>
        </w:rPr>
        <w:t>.  Draft Report, Coastal Engineering Research Center, US Army Corps of Engineers.</w:t>
      </w:r>
    </w:p>
    <w:p>
      <w:pPr>
        <w:pStyle w:val="BodyTextIndent"/>
        <w:jc w:val="left"/>
      </w:pPr>
      <w:r>
        <w:rPr>
          <w:rFonts w:ascii="Arial" w:hAnsi="Arial" w:cs="Arial" w:eastAsia="Arial"/>
          <w:b w:val="false"/>
          <w:i w:val="false"/>
          <w:strike w:val="false"/>
          <w:color w:val=""/>
          <w:sz w:val="22"/>
        </w:rPr>
        <w:t xml:space="preserve">Garriison, Paul J., David W. Marshall, Laura Stremick-Thompson, Patricia L. Cicero, and Paul D. Dearlove.  2005.  </w:t>
      </w:r>
      <w:r>
        <w:rPr>
          <w:rFonts w:ascii="Arial" w:hAnsi="Arial" w:cs="Arial" w:eastAsia="Arial"/>
          <w:b w:val="false"/>
          <w:i w:val="true"/>
          <w:strike w:val="false"/>
          <w:color w:val=""/>
          <w:sz w:val="22"/>
        </w:rPr>
        <w:t>Effects of pier shading on littoral zone habitat and communities in Lakes Ripley and Rock, Jefferson County, Wisconsin.</w:t>
      </w:r>
      <w:r>
        <w:rPr>
          <w:rFonts w:ascii="Arial" w:hAnsi="Arial" w:cs="Arial" w:eastAsia="Arial"/>
          <w:b w:val="false"/>
          <w:i w:val="false"/>
          <w:strike w:val="false"/>
          <w:color w:val=""/>
          <w:sz w:val="22"/>
        </w:rPr>
        <w:t xml:space="preserve">  Wisconsin Department of Natural Resources, Jefferson County Land and Water Conservation Department and Lake Ripley Management District.  Pub-SS-1006 2005.</w:t>
      </w:r>
    </w:p>
    <w:p>
      <w:pPr>
        <w:pStyle w:val="BodyTextIndent2"/>
        <w:jc w:val="left"/>
      </w:pPr>
      <w:r>
        <w:rPr>
          <w:rFonts w:ascii="" w:hAnsi="" w:cs="" w:eastAsia=""/>
          <w:b w:val="false"/>
          <w:i w:val="false"/>
          <w:strike w:val="false"/>
          <w:color w:val=""/>
        </w:rPr>
        <w:t xml:space="preserve">Hagerty, D. J., M.F. Spoor and C.R. Ullrich.  1981.  Bank Failure and Erosion on the Ohio River.  </w:t>
      </w:r>
      <w:r>
        <w:rPr>
          <w:rFonts w:ascii="" w:hAnsi="" w:cs="" w:eastAsia=""/>
          <w:b w:val="false"/>
          <w:i w:val="true"/>
          <w:strike w:val="false"/>
          <w:color w:val=""/>
        </w:rPr>
        <w:t>Engineering Geology</w:t>
      </w:r>
      <w:r>
        <w:rPr>
          <w:rFonts w:ascii="" w:hAnsi="" w:cs="" w:eastAsia=""/>
          <w:b w:val="false"/>
          <w:i w:val="false"/>
          <w:strike w:val="false"/>
          <w:color w:val=""/>
        </w:rPr>
        <w:t>.  17:141–158.</w:t>
      </w:r>
    </w:p>
    <w:p>
      <w:pPr>
        <w:pStyle w:val="BodyTextIndent2"/>
        <w:jc w:val="left"/>
      </w:pPr>
      <w:r>
        <w:rPr>
          <w:rFonts w:ascii="" w:hAnsi="" w:cs="" w:eastAsia=""/>
          <w:b w:val="false"/>
          <w:i w:val="false"/>
          <w:strike w:val="false"/>
          <w:color w:val=""/>
        </w:rPr>
        <w:t xml:space="preserve">Hartge, P. 1998.  Boating Induced Turbidity.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Hruby, T.  1990.  </w:t>
      </w:r>
      <w:r>
        <w:rPr>
          <w:rFonts w:ascii="" w:hAnsi="" w:cs="" w:eastAsia=""/>
          <w:b w:val="false"/>
          <w:i w:val="true"/>
          <w:strike w:val="false"/>
          <w:color w:val=""/>
        </w:rPr>
        <w:t>Long Island region tidal wetlands management manual.  Part III: Management Plan Development.</w:t>
      </w:r>
      <w:r>
        <w:rPr>
          <w:rFonts w:ascii="" w:hAnsi="" w:cs="" w:eastAsia=""/>
          <w:b w:val="false"/>
          <w:i w:val="false"/>
          <w:strike w:val="false"/>
          <w:color w:val=""/>
        </w:rPr>
        <w:t xml:space="preserve">  Seatuck Research Program, Islip, NY 42 pp.</w:t>
      </w:r>
    </w:p>
    <w:p>
      <w:pPr>
        <w:pStyle w:val="BodyTextIndent2"/>
        <w:jc w:val="left"/>
      </w:pPr>
      <w:r>
        <w:rPr>
          <w:rFonts w:ascii="" w:hAnsi="" w:cs="" w:eastAsia=""/>
          <w:b w:val="false"/>
          <w:i w:val="false"/>
          <w:strike w:val="false"/>
          <w:color w:val=""/>
        </w:rPr>
        <w:t>Johnson, J.W.  1973.  Proposal preparation for Department of Navigation and Ocean Development.  Unpublished information.</w:t>
      </w:r>
    </w:p>
    <w:p>
      <w:pPr>
        <w:pStyle w:val="BodyTextIndent"/>
        <w:jc w:val="left"/>
      </w:pPr>
      <w:r>
        <w:rPr>
          <w:rFonts w:ascii="Arial" w:hAnsi="Arial" w:cs="Arial" w:eastAsia="Arial"/>
          <w:b w:val="false"/>
          <w:i w:val="false"/>
          <w:strike w:val="false"/>
          <w:color w:val=""/>
          <w:sz w:val="22"/>
        </w:rPr>
        <w:t xml:space="preserve">Kearney, V., Y. Segal and M.W. Lefor.  1983.  </w:t>
      </w:r>
      <w:r>
        <w:rPr>
          <w:rFonts w:ascii="Arial" w:hAnsi="Arial" w:cs="Arial" w:eastAsia="Arial"/>
          <w:b w:val="false"/>
          <w:i w:val="true"/>
          <w:strike w:val="false"/>
          <w:color w:val=""/>
          <w:sz w:val="22"/>
        </w:rPr>
        <w:t>The Effects of Docks on Salt Marsh Vegetation</w:t>
      </w:r>
      <w:r>
        <w:rPr>
          <w:rFonts w:ascii="Arial" w:hAnsi="Arial" w:cs="Arial" w:eastAsia="Arial"/>
          <w:b w:val="false"/>
          <w:i w:val="false"/>
          <w:strike w:val="false"/>
          <w:color w:val=""/>
          <w:sz w:val="22"/>
        </w:rPr>
        <w:t xml:space="preserve">.  The Connecticut State Department of Environmental Protection, Water Resources Unit, Hartford, CT.  06106.  </w:t>
      </w:r>
    </w:p>
    <w:p>
      <w:pPr>
        <w:pStyle w:val=""/>
        <w:jc w:val="left"/>
      </w:pPr>
      <w:r>
        <w:rPr>
          <w:rFonts w:ascii="" w:hAnsi="" w:cs="" w:eastAsia=""/>
          <w:b w:val="false"/>
          <w:i w:val="false"/>
          <w:strike w:val="false"/>
          <w:color w:val=""/>
        </w:rPr>
        <w:t xml:space="preserve">Kelty, Ruth and Steve Bliven.  2003.  </w:t>
      </w:r>
      <w:r>
        <w:rPr>
          <w:rFonts w:ascii="" w:hAnsi="" w:cs="" w:eastAsia=""/>
          <w:b w:val="false"/>
          <w:i w:val="true"/>
          <w:strike w:val="false"/>
          <w:color w:val=""/>
        </w:rPr>
        <w:t>Environmental and Aesthetic Impacts of Small Docks and Piers: Workshop Report:  Developing a Science-Based Decision Support Tool for Small Dock Management, Phase 1: Status of the Science.</w:t>
      </w:r>
      <w:r>
        <w:rPr>
          <w:rFonts w:ascii="" w:hAnsi="" w:cs="" w:eastAsia=""/>
          <w:b w:val="false"/>
          <w:i w:val="false"/>
          <w:strike w:val="false"/>
          <w:color w:val=""/>
        </w:rPr>
        <w:t xml:space="preserve">  NOAA Coastal Ocean Program, Decision Analysis Series Number 22.  NOAA Coastal Ocean Program, 1305 East-West Highway, Silver Spring, MD, 20910. </w:t>
      </w:r>
      <w:r>
        <w:rPr>
          <w:rFonts w:ascii="" w:hAnsi="" w:cs="" w:eastAsia=""/>
          <w:b w:val="false"/>
          <w:i w:val="false"/>
          <w:strike w:val="false"/>
          <w:color w:val="000000"/>
        </w:rPr>
        <w:t>Copies of the report may be downloaded from</w:t>
      </w:r>
      <w:r>
        <w:rPr>
          <w:rFonts w:ascii="" w:hAnsi="" w:cs="" w:eastAsia=""/>
          <w:b w:val="false"/>
          <w:i w:val="false"/>
          <w:strike w:val="false"/>
          <w:color w:val=""/>
        </w:rPr>
        <w:t xml:space="preserve"> </w:t>
      </w:r>
      <w:r>
        <w:rPr>
          <w:rFonts w:ascii="" w:hAnsi="" w:cs="" w:eastAsia=""/>
          <w:b w:val="false"/>
          <w:i w:val="false"/>
          <w:strike w:val="false"/>
          <w:color w:val=""/>
        </w:rPr>
        <w:t>www.nccos.noaa.gov/publications/notables.html#dp</w:t>
      </w:r>
      <w:r>
        <w:rPr>
          <w:rFonts w:ascii="" w:hAnsi="" w:cs="" w:eastAsia=""/>
          <w:b w:val="false"/>
          <w:i w:val="false"/>
          <w:strike w:val="false"/>
          <w:color w:val=""/>
        </w:rPr>
        <w:t xml:space="preserve"> </w:t>
      </w:r>
      <w:r>
        <w:rPr>
          <w:rFonts w:ascii="" w:hAnsi="" w:cs="" w:eastAsia=""/>
          <w:b w:val="false"/>
          <w:i w:val="false"/>
          <w:strike w:val="false"/>
          <w:color w:val=""/>
        </w:rPr>
        <w:t>.</w:t>
      </w:r>
    </w:p>
    <w:p>
      <w:pPr>
        <w:pStyle w:val="BodyTextIndent"/>
        <w:jc w:val="left"/>
      </w:pPr>
      <w:r>
        <w:rPr>
          <w:rFonts w:ascii="Arial" w:hAnsi="Arial" w:cs="Arial" w:eastAsia="Arial"/>
          <w:b w:val="false"/>
          <w:i w:val="false"/>
          <w:strike w:val="false"/>
          <w:color w:val=""/>
          <w:sz w:val="22"/>
        </w:rPr>
        <w:t xml:space="preserve">Kennish, Michael J., (Editor). 2002. Impacts of Motorized Watercraft on Shallow Estuarine and Coastal Marine Environments.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w:t>
      </w:r>
    </w:p>
    <w:p>
      <w:pPr>
        <w:pStyle w:val="BodyTextIndent2"/>
        <w:jc w:val="left"/>
      </w:pPr>
      <w:r>
        <w:rPr>
          <w:rFonts w:ascii="" w:hAnsi="" w:cs="" w:eastAsia=""/>
          <w:b w:val="false"/>
          <w:i w:val="false"/>
          <w:strike w:val="false"/>
          <w:color w:val=""/>
        </w:rPr>
        <w:t xml:space="preserve">Kenworthy, Judson W. and Daniel E. Haunert (eds.)  1991.  </w:t>
      </w:r>
      <w:r>
        <w:rPr>
          <w:rFonts w:ascii="" w:hAnsi="" w:cs="" w:eastAsia=""/>
          <w:b w:val="false"/>
          <w:i w:val="true"/>
          <w:strike w:val="false"/>
          <w:color w:val=""/>
        </w:rPr>
        <w:t>The Light Requirements of Seagrasses; proceedings of a workshop to examine the capability of water quality criteria, standards and monitoring programs to protect seagrasses</w:t>
      </w:r>
      <w:r>
        <w:rPr>
          <w:rFonts w:ascii="" w:hAnsi="" w:cs="" w:eastAsia=""/>
          <w:b w:val="false"/>
          <w:i w:val="false"/>
          <w:strike w:val="false"/>
          <w:color w:val=""/>
        </w:rPr>
        <w:t>.  NOAA Technical Memorandum NMFS-SEFC-287.  NMFS Beaufort Laboratory, Beaufort, NC 28516-9722.</w:t>
      </w:r>
    </w:p>
    <w:p>
      <w:pPr>
        <w:pStyle w:val=""/>
        <w:jc w:val="left"/>
      </w:pPr>
      <w:r>
        <w:rPr>
          <w:rFonts w:ascii="" w:hAnsi="" w:cs="" w:eastAsia=""/>
          <w:b w:val="false"/>
          <w:i w:val="false"/>
          <w:strike w:val="false"/>
          <w:color w:val=""/>
        </w:rPr>
        <w:t>Koch, E.W. and S. Beer.  1996.  Tides, light and the Distribution of</w:t>
      </w:r>
      <w:r>
        <w:rPr>
          <w:rFonts w:ascii="" w:hAnsi="" w:cs="" w:eastAsia=""/>
          <w:b w:val="false"/>
          <w:i w:val="true"/>
          <w:strike w:val="false"/>
          <w:color w:val=""/>
        </w:rPr>
        <w:t xml:space="preserve"> Zostera marina</w:t>
      </w:r>
      <w:r>
        <w:rPr>
          <w:rFonts w:ascii="" w:hAnsi="" w:cs="" w:eastAsia=""/>
          <w:b w:val="false"/>
          <w:i w:val="false"/>
          <w:strike w:val="false"/>
          <w:color w:val=""/>
        </w:rPr>
        <w:t xml:space="preserve"> in Long Island Sound, USA.  </w:t>
      </w:r>
      <w:r>
        <w:rPr>
          <w:rFonts w:ascii="" w:hAnsi="" w:cs="" w:eastAsia=""/>
          <w:b w:val="false"/>
          <w:i w:val="true"/>
          <w:strike w:val="false"/>
          <w:color w:val=""/>
        </w:rPr>
        <w:t>Aquatic Biology</w:t>
      </w:r>
      <w:r>
        <w:rPr>
          <w:rFonts w:ascii="" w:hAnsi="" w:cs="" w:eastAsia=""/>
          <w:b w:val="false"/>
          <w:i w:val="false"/>
          <w:strike w:val="false"/>
          <w:color w:val=""/>
        </w:rPr>
        <w:t>. 53: 97–107.</w:t>
      </w:r>
    </w:p>
    <w:p>
      <w:pPr>
        <w:pStyle w:val=""/>
        <w:jc w:val="left"/>
      </w:pPr>
      <w:r>
        <w:rPr>
          <w:rFonts w:ascii="" w:hAnsi="" w:cs="" w:eastAsia=""/>
          <w:b w:val="false"/>
          <w:i w:val="false"/>
          <w:strike w:val="false"/>
          <w:color w:val=""/>
        </w:rPr>
        <w:t xml:space="preserve">Kruer, Curtis.  1998.  Boating Impacts On Seagrass Habitats In Florida.  In </w:t>
      </w:r>
      <w:r>
        <w:rPr>
          <w:rFonts w:ascii="" w:hAnsi="" w:cs="" w:eastAsia=""/>
          <w:b w:val="false"/>
          <w:i w:val="true"/>
          <w:strike w:val="false"/>
          <w:color w:val=""/>
        </w:rPr>
        <w:t>The Environmental Impacts of Boating: Proceedings of a workshop held at Woods Hole Oceanographic Institution,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Lefor, Michael Wm.  1992.  In </w:t>
      </w:r>
      <w:r>
        <w:rPr>
          <w:rFonts w:ascii="" w:hAnsi="" w:cs="" w:eastAsia=""/>
          <w:b w:val="false"/>
          <w:i w:val="true"/>
          <w:strike w:val="false"/>
          <w:color w:val=""/>
        </w:rPr>
        <w:t xml:space="preserve">Restoring Connecticut’s Coastal Resources: A handbook for municipal officials.  </w:t>
      </w:r>
      <w:r>
        <w:rPr>
          <w:rFonts w:ascii="" w:hAnsi="" w:cs="" w:eastAsia=""/>
          <w:b w:val="false"/>
          <w:i w:val="false"/>
          <w:strike w:val="false"/>
          <w:color w:val=""/>
        </w:rPr>
        <w:t>Connecticut Sea Grant Publications #CT-SG-92-04.</w:t>
      </w:r>
    </w:p>
    <w:p>
      <w:pPr>
        <w:pStyle w:val=""/>
        <w:jc w:val="left"/>
      </w:pPr>
      <w:r>
        <w:rPr>
          <w:rFonts w:ascii="" w:hAnsi="" w:cs="" w:eastAsia=""/>
          <w:b w:val="false"/>
          <w:i w:val="false"/>
          <w:strike w:val="false"/>
          <w:color w:val=""/>
        </w:rPr>
        <w:t>Ludwig, Michael.  2003.  National Marine Fisheries Service, Milford (CT) Laboratory.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2018-05-09T20:19:02Z</dcterms:created>
  <dc:creator>Apache POI</dc:creator>
</cp:coreProperties>
</file>