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This and the other related sections of the following workbook—along with the complementary PowerPoint presentations—were funded through the National Oceanic and Atmospheric Administration’s (NOAA) National Centers for Coastal Ocean Science (NCCOS) and the Office of Ocean and Coastal Resource Management (OCRM).  Steve Bliven of Bliven &amp; Sternack prepared the text and slides under contract to those offices.  All those concerned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 xml:space="preserve">Private docks have been implicated in a number of environmental impacts.  Some of these have received scientific investigation and some remain anecdotal.  In an attempt to clarify what is known about environmental impacts from docks, NOAA’s National Centers for Coastal Ocean Science convened a workshop in January of 2003.  This session brought together scientists and a group of coastal managers from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 xml:space="preserve">Marsh plants and submerged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 xml:space="preserve">1981; Teal, 1962, 1969;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 xml:space="preserve">Impacts from boat use (covered later in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pStyle w:val=""/>
        <w:jc w:val="left"/>
      </w:pPr>
      <w:r>
        <w:rPr>
          <w:rFonts w:ascii="" w:hAnsi="" w:cs="" w:eastAsia=""/>
          <w:b w:val="false"/>
          <w:i w:val="false"/>
          <w:strike w:val="false"/>
          <w:color w:val="000000"/>
        </w:rPr>
        <w:t/>
      </w:r>
    </w:p>
    <w:p>
      <w:pPr>
        <w:pStyle w:val="Heading7"/>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false"/>
          <w:strike w:val="false"/>
          <w:color w:val=""/>
          <w:sz w:val="22"/>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sz w:val="20"/>
        </w:rPr>
        <w:t/>
      </w:r>
    </w:p>
    <w:p>
      <w:pPr>
        <w:pStyle w:val="Heading8"/>
        <w:jc w:val="left"/>
      </w:pP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BodyText"/>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2018-05-09T20:19:02Z</dcterms:created>
  <dc:creator>Apache POI</dc:creator>
</cp:coreProperties>
</file>