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Heading1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</w:rPr>
        <w:t/>
      </w: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7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3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7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7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20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true"/>
          <w:strike w:val="false"/>
          <w:color w:val="auto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true"/>
          <w:strike w:val="false"/>
          <w:color w:val="auto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true"/>
          <w:strike w:val="false"/>
          <w:color w:val="auto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3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–W–1–80  114 pp. NTIS No. ADA</w:t>
      </w:r>
      <w:r>
        <w:rPr>
          <w:rFonts w:ascii="" w:hAnsi="" w:cs="" w:eastAsia=""/>
          <w:b w:val="false"/>
          <w:i w:val="false"/>
          <w:strike w:val="false"/>
          <w:color w:val=""/>
        </w:rPr>
        <w:t>083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896. 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Colligan, Mary and Cori Collins.  1995.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 of Open-Pile Structures on Salt Marsh Vegetation.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NOAA/NMFS Habitat and Protected Resources Division.  Pre-publication copy–not for distribution.  44p.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Cooper, P.A.  1990.  Leaching of CCA from Treated Wood.  </w:t>
      </w:r>
      <w:r>
        <w:rPr>
          <w:rFonts w:ascii="" w:hAnsi="" w:cs="" w:eastAsia=""/>
          <w:b w:val="false"/>
          <w:i w:val="true"/>
          <w:strike w:val="false"/>
          <w:color w:val=""/>
        </w:rPr>
        <w:t>Proc. Canadian Wood Preservation Association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II: 144–169.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Crawford, R. N.Stolpe and M. Moore, Eds.  1998.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Environmental Impacts of Boating: Proceedings of a workshop held at Woods Hole Oceanographic Institution, Woods Hole, MA.  December 7–9 1994.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Technical Report WHOI-98-03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Crawford, R.  1998.  Measuring Boating Effects of Turbidity in a Shallow Coastal Lagoon.  In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The Environmental Impacts of Boating: Proceedings of a workshop held at Woods Hole </w:t>
      </w:r>
      <w:r>
        <w:rPr>
          <w:rFonts w:ascii="" w:hAnsi="" w:cs="" w:eastAsia=""/>
          <w:b w:val="false"/>
          <w:i w:val="true"/>
          <w:strike w:val="false"/>
          <w:color w:val=""/>
        </w:rPr>
        <w:t>Oceanographic Institution, Woods Hole, MA  December 7–9 1994</w:t>
      </w:r>
      <w:r>
        <w:rPr>
          <w:rFonts w:ascii="" w:hAnsi="" w:cs="" w:eastAsia=""/>
          <w:b w:val="false"/>
          <w:i w:val="false"/>
          <w:strike w:val="false"/>
          <w:color w:val=""/>
        </w:rPr>
        <w:t>.  Technical Report: WHOI-98-03.  R. Crawford, N. Stolpe and M.Moore. Eds.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Crawford, R. 2002.  Secondary Wake Turbidity From Small Boat Operation in a Shallow, Sandy Bay.  </w:t>
      </w:r>
      <w:r>
        <w:rPr>
          <w:rFonts w:ascii="" w:hAnsi="" w:cs="" w:eastAsia=""/>
          <w:b w:val="false"/>
          <w:i w:val="true"/>
          <w:strike w:val="false"/>
          <w:color w:val=""/>
        </w:rPr>
        <w:t>Journal of Coastal Research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Special Issue 37.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2018-05-09T20:19:03Z</dcterms:created>
  <dc:creator>Apache POI</dc:creator>
</cp:coreProperties>
</file>