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This and the other related sections of the following workbook—along with the complementary PowerPoint presentations—were funded through the National Oceanic and Atmospheric Administration’s (NOAA) National Centers for Coastal Ocean Science (NCCOS) and the Office of Ocean and Coastal Resource Management (OCRM).  Steve Bliven of Bliven &amp; Sternack prepared the text and slides under contract to those offices.  All those concerned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 xml:space="preserve">Private docks have been implicated in a number of environmental impacts.  Some of these have received scientific investigation and some remain anecdotal.  In an attempt to clarify what is known about environmental impacts from docks, NOAA’s National Centers for Coastal Ocean Science convened a workshop in January of 2003.  This session brought together scientists and a group of coastal managers from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 xml:space="preserve">Marsh plants and submerged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 xml:space="preserve">1981; Teal, 1962, 1969;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 xml:space="preserve">Impacts from boat use (covered later in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 xml:space="preserve">Setting pilings in sea grass beds may have immediate impacts as well as causing long-term changes.  The act of installing pilings destroys any vegetation within the footprint of the pilings.  The use of “jetting” with high-pressure hoses typically disturbs adjacent vegetation and sediments—depopulating grasses existing there prior to construction.  Once areas are depopulated, the presence of pilings may lessen chances for regrowth.  Beal, Schmit, and Williams (1999) suggest that changes in seagrass communities in the vicinity of pilings may be caused by the modification of currents, sediment deposition, attraction of bioturbators,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though the age of these docks varied widely” suggesting that regrowth is affected by the presence of pilings.  Use of high pressure jetting produced a six- to seven-foot diameter hole around each piling, which was then backfilled to hold the piling in place.  The resultant “halo” might remain for 10 years without seagrass regrowth.  The authors found that where piles were installed using low-pressure jetting techniques there was, “little or no sand deposition around the pilings and the remaining seagrasses around the pilings looked healthy and had good growth around the piling.”  </w:t>
      </w:r>
    </w:p>
    <w:p>
      <w:pPr>
        <w:pStyle w:val="BodyTextIndent"/>
        <w:jc w:val="left"/>
      </w:pPr>
      <w:r>
        <w:rPr>
          <w:rFonts w:ascii="Arial" w:hAnsi="Arial" w:cs="Arial" w:eastAsia="Arial"/>
          <w:b w:val="false"/>
          <w:i w:val="false"/>
          <w:strike w:val="false"/>
          <w:color w:val=""/>
          <w:sz w:val="22"/>
        </w:rPr>
        <w:t xml:space="preserve">Dock construction also impacts marsh grass.  Sanger and Holland (2002) noted a barren path through the marsh along each side of a newly constructed dock in North Carolina where vegetation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2018-05-09T20:19:01Z</dcterms:created>
  <dc:creator>Apache POI</dc:creator>
</cp:coreProperties>
</file>