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ntion and potentially opens the door to unregulated and uncontrollable international a</w:t>
      </w:r>
      <w:r>
        <w:rPr>
          <w:rFonts w:ascii="" w:hAnsi="" w:cs="" w:eastAsia=""/>
          <w:b w:val="false"/>
          <w:i w:val="false"/>
          <w:strike w:val="false"/>
          <w:color w:val=""/>
        </w:rPr>
        <w:t>bductions in child custody matters.</w:t>
      </w:r>
      <w:r>
        <w:rPr>
          <w:rFonts w:ascii="" w:hAnsi="" w:cs="" w:eastAsia=""/>
          <w:b w:val="false"/>
          <w:i w:val="false"/>
          <w:strike w:val="false"/>
          <w:color w:val=""/>
        </w:rPr>
        <w:t>*</w:t>
      </w:r>
      <w:r>
        <w:rPr>
          <w:rFonts w:ascii="" w:hAnsi="" w:cs="" w:eastAsia=""/>
          <w:b w:val="false"/>
          <w:i w:val="false"/>
          <w:strike w:val="false"/>
          <w:color w:val=""/>
        </w:rPr>
        <w:t>*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C.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The District Court Incorrectly Analyzed, as a Legal Matter, 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Whether Marie-Eline Objected to Return and Whether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She Has Attained a Sufficient Age or Degree of Maturity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to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Have Any Such Objection Given Effect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At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20, 1999 hearing, the district court heard evidence to determine whether Marie-Eline had, at age eight, attained an age and degree of maturity such that it would be appropriate to take account of her objection to return.  The district court then </w:t>
      </w:r>
      <w:r>
        <w:rPr>
          <w:rFonts w:ascii="" w:hAnsi="" w:cs="" w:eastAsia=""/>
          <w:b w:val="false"/>
          <w:i w:val="false"/>
          <w:strike w:val="false"/>
          <w:color w:val=""/>
        </w:rPr>
        <w:t>played with Marie-Eline and Francois in Chambers.  Based on that playtime, the district court reported:  “Marie-Eline explicitly stated that she does not want to return to France because she does not want to be subjected to further physical and emotional 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buse at the hands of her father.”  </w:t>
      </w:r>
      <w:r>
        <w:rPr>
          <w:rFonts w:ascii="" w:hAnsi="" w:cs="" w:eastAsia=""/>
          <w:b w:val="false"/>
          <w:i w:val="false"/>
          <w:strike w:val="false"/>
          <w:color w:val=""/>
        </w:rPr>
        <w:t>Blondin III</w:t>
      </w:r>
      <w:r>
        <w:rPr>
          <w:rFonts w:ascii="" w:hAnsi="" w:cs="" w:eastAsia=""/>
          <w:b w:val="false"/>
          <w:i w:val="false"/>
          <w:strike w:val="false"/>
          <w:color w:val=""/>
        </w:rPr>
        <w:t>, 78 F. Supp. 2d at 296.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The district court considered this an “objection to being returned to France.”  </w:t>
      </w:r>
      <w:r>
        <w:rPr>
          <w:rFonts w:ascii="" w:hAnsi="" w:cs="" w:eastAsia=""/>
          <w:b w:val="false"/>
          <w:i w:val="false"/>
          <w:strike w:val="false"/>
          <w:color w:val=""/>
        </w:rPr>
        <w:t>Id.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The court then</w:t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 xml:space="preserve"> noted that it considered the child's "views" as only </w:t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>one of several reasons why it w</w:t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 xml:space="preserve">as invoking Article 13(b).  </w:t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>Id.</w:t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2018-05-10T12:57:48Z</dcterms:created>
  <dc:creator>Apache POI</dc:creator>
</cp:coreProperties>
</file>