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trist that any return of the children to France, even for a </w:t>
      </w:r>
      <w:r>
        <w:rPr>
          <w:rFonts w:ascii="" w:hAnsi="" w:cs="" w:eastAsia=""/>
          <w:b w:val="false"/>
          <w:i w:val="false"/>
          <w:strike w:val="false"/>
          <w:color w:val=""/>
        </w:rPr>
        <w:t>one-to-three-month 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eriod during which a French court would determine custody, would cause them to experience post-traumatic stress disorder due to the prior abuse.  </w:t>
      </w:r>
      <w:r>
        <w:rPr>
          <w:rFonts w:ascii="" w:hAnsi="" w:cs="" w:eastAsia=""/>
          <w:b w:val="false"/>
          <w:i w:val="false"/>
          <w:strike w:val="false"/>
          <w:color w:val=""/>
        </w:rPr>
        <w:t>Id.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at 295.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The psychiatrist was of the opinion that psychological harm would be caused by "return[ing] them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to the scene of their original trauma" and by placing them in an insecure position based on the uncertainties surrounding a custody proceeding in France.  </w:t>
      </w:r>
      <w:r>
        <w:rPr>
          <w:rFonts w:ascii="" w:hAnsi="" w:cs="" w:eastAsia=""/>
          <w:b w:val="false"/>
          <w:i w:val="false"/>
          <w:strike w:val="false"/>
          <w:color w:val=""/>
        </w:rPr>
        <w:t>Id.</w:t>
      </w:r>
      <w:r>
        <w:rPr>
          <w:rFonts w:ascii="" w:hAnsi="" w:cs="" w:eastAsia=""/>
          <w:b w:val="false"/>
          <w:i w:val="false"/>
          <w:strike w:val="false"/>
          <w:color w:val=""/>
        </w:rPr>
        <w:t>*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As this Court held in </w:t>
      </w:r>
      <w:r>
        <w:rPr>
          <w:rFonts w:ascii="" w:hAnsi="" w:cs="" w:eastAsia=""/>
          <w:b w:val="false"/>
          <w:i w:val="false"/>
          <w:strike w:val="false"/>
          <w:color w:val=""/>
        </w:rPr>
        <w:t>Blondin II</w:t>
      </w:r>
      <w:r>
        <w:rPr>
          <w:rFonts w:ascii="" w:hAnsi="" w:cs="" w:eastAsia=""/>
          <w:b w:val="false"/>
          <w:i w:val="false"/>
          <w:strike w:val="false"/>
          <w:color w:val=""/>
        </w:rPr>
        <w:t>, issues of past abuse should not constitute a grave risk of fut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ure harm under Article 13(b) without the additional finding that there is a likelihood of, and no adequate option to prevent, future abuse upon return.  </w:t>
      </w:r>
      <w:r>
        <w:rPr>
          <w:rFonts w:ascii="" w:hAnsi="" w:cs="" w:eastAsia=""/>
          <w:b w:val="false"/>
          <w:i w:val="false"/>
          <w:strike w:val="false"/>
          <w:color w:val=""/>
        </w:rPr>
        <w:t>Blondin 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189 F.3d at 248-49; </w:t>
      </w:r>
      <w:r>
        <w:rPr>
          <w:rFonts w:ascii="" w:hAnsi="" w:cs="" w:eastAsia=""/>
          <w:b w:val="false"/>
          <w:i w:val="false"/>
          <w:strike w:val="false"/>
          <w:color w:val=""/>
        </w:rPr>
        <w:t>see also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Tabacchi v. Harrison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2018-05-10T12:57:48Z</dcterms:created>
  <dc:creator>Apache POI</dc:creator>
</cp:coreProperties>
</file>