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 w:hAnsi="" w:cs="" w:eastAsia=""/>
          <w:b w:val="true"/>
          <w:i w:val="false"/>
          <w:strike w:val="false"/>
          <w:color w:val=""/>
          <w:sz w:val="22"/>
        </w:rPr>
        <w:t>Copyright and Disclaim</w:t>
      </w:r>
      <w:r>
        <w:rPr>
          <w:rFonts w:ascii="" w:hAnsi="" w:cs="" w:eastAsia=""/>
          <w:b w:val="true"/>
          <w:i w:val="false"/>
          <w:strike w:val="false"/>
          <w:color w:val=""/>
          <w:sz w:val="22"/>
        </w:rPr>
        <w:t>er</w:t>
      </w:r>
    </w:p>
    <w:p>
      <w:pPr>
        <w:pStyle w:val=""/>
        <w:jc w:val="left"/>
      </w:pPr>
      <w:r>
        <w:rPr>
          <w:rFonts w:ascii="" w:hAnsi="" w:cs="" w:eastAsia=""/>
          <w:b w:val="false"/>
          <w:i w:val="false"/>
          <w:strike w:val="false"/>
          <w:color w:val=""/>
          <w:sz w:val="22"/>
        </w:rPr>
        <w:t>The State of South Carolina owns the copyright to the Code of Laws of South Carolina, 1976, as contained herein.  Any use of the text, section headings, or catchlines of the 1976 Code is subject to the terms of federal copyright a</w:t>
      </w:r>
      <w:r>
        <w:rPr>
          <w:rFonts w:ascii="" w:hAnsi="" w:cs="" w:eastAsia=""/>
          <w:b w:val="false"/>
          <w:i w:val="false"/>
          <w:strike w:val="false"/>
          <w:color w:val=""/>
          <w:sz w:val="22"/>
        </w:rPr>
        <w:t xml:space="preserve">nd other applicable laws and such text, section headings, or catchlines may not be reproduced in whole or in part in any form or for inclusion in any material which is offered for sale or lease without the express written permission of the Chairman of the </w:t>
      </w:r>
      <w:r>
        <w:rPr>
          <w:rFonts w:ascii="" w:hAnsi="" w:cs="" w:eastAsia=""/>
          <w:b w:val="false"/>
          <w:i w:val="false"/>
          <w:strike w:val="false"/>
          <w:color w:val=""/>
          <w:sz w:val="22"/>
        </w:rPr>
        <w:t>South Carolina Legislative Council or the Code Commissioner of South Carolina.</w:t>
      </w:r>
    </w:p>
    <w:p>
      <w:pPr>
        <w:pStyle w:val=""/>
        <w:jc w:val="left"/>
      </w:pPr>
      <w:r>
        <w:rPr>
          <w:rFonts w:ascii="" w:hAnsi="" w:cs="" w:eastAsia=""/>
          <w:b w:val="false"/>
          <w:i w:val="false"/>
          <w:strike w:val="false"/>
          <w:color w:val=""/>
          <w:sz w:val="22"/>
        </w:rPr>
        <w:t>This statutory database is current through the 2001 Regular Session and the 2001 Extra Session of the South Carolina General Assembly.  Changes to the statutes enacted by the 2</w:t>
      </w:r>
      <w:r>
        <w:rPr>
          <w:rFonts w:ascii="" w:hAnsi="" w:cs="" w:eastAsia=""/>
          <w:b w:val="false"/>
          <w:i w:val="false"/>
          <w:strike w:val="false"/>
          <w:color w:val=""/>
          <w:sz w:val="22"/>
        </w:rPr>
        <w:t>002 General Assembly, which will convene in January 2002, will be incorporated as soon as possible.  Some changes enacted by the 2002 General Assembly may take immediate effect.  The State of South Carolina and the South Carolina Legislative Council make n</w:t>
      </w:r>
      <w:r>
        <w:rPr>
          <w:rFonts w:ascii="" w:hAnsi="" w:cs="" w:eastAsia=""/>
          <w:b w:val="false"/>
          <w:i w:val="false"/>
          <w:strike w:val="false"/>
          <w:color w:val=""/>
          <w:sz w:val="22"/>
        </w:rPr>
        <w:t>o warranty as to the accuracy of the data, and users rely on the data entirely at their own risk.</w:t>
      </w:r>
    </w:p>
    <w:p>
      <w:pPr>
        <w:pStyle w:val=""/>
        <w:jc w:val="left"/>
      </w:pPr>
      <w:r>
        <w:rPr>
          <w:rFonts w:ascii="" w:hAnsi="" w:cs="" w:eastAsia=""/>
          <w:b w:val="false"/>
          <w:i w:val="false"/>
          <w:strike w:val="false"/>
          <w:color w:val=""/>
          <w:sz w:val="22"/>
        </w:rPr>
        <w:t>The Legislative Council by law is charged with compiling and publishing the 1976 Code and it is maintained in a database which may be accessed for commercial</w:t>
      </w:r>
      <w:r>
        <w:rPr>
          <w:rFonts w:ascii="" w:hAnsi="" w:cs="" w:eastAsia=""/>
          <w:b w:val="false"/>
          <w:i w:val="false"/>
          <w:strike w:val="false"/>
          <w:color w:val=""/>
          <w:sz w:val="22"/>
        </w:rPr>
        <w:t xml:space="preserve"> purposes by contacting the Legislative Council or the office of Legislative Printing, Information and Technology Systems.</w:t>
      </w:r>
    </w:p>
    <w:p>
      <w:pPr>
        <w:pStyle w:val=""/>
        <w:jc w:val="center"/>
      </w:pPr>
      <w:r>
        <w:rPr>
          <w:rFonts w:ascii="" w:hAnsi="" w:cs="" w:eastAsia=""/>
          <w:b w:val="false"/>
          <w:i w:val="false"/>
          <w:strike w:val="false"/>
          <w:color w:val=""/>
          <w:sz w:val="22"/>
        </w:rPr>
        <w:t>CHAPTER 15.</w:t>
      </w:r>
    </w:p>
    <w:p>
      <w:pPr>
        <w:pStyle w:val=""/>
        <w:jc w:val="center"/>
      </w:pPr>
      <w:r>
        <w:rPr>
          <w:rFonts w:ascii="" w:hAnsi="" w:cs="" w:eastAsia=""/>
          <w:b w:val="false"/>
          <w:i w:val="false"/>
          <w:strike w:val="false"/>
          <w:color w:val=""/>
          <w:sz w:val="22"/>
        </w:rPr>
        <w:t xml:space="preserve"> DWELLINGS UNFIT FOR HUMAN HABITATION</w:t>
      </w:r>
    </w:p>
    <w:p>
      <w:pPr>
        <w:pStyle w:val=""/>
        <w:jc w:val="center"/>
      </w:pPr>
      <w:r>
        <w:rPr>
          <w:rFonts w:ascii="" w:hAnsi="" w:cs="" w:eastAsia=""/>
          <w:b w:val="false"/>
          <w:i w:val="false"/>
          <w:strike w:val="false"/>
          <w:color w:val=""/>
          <w:sz w:val="22"/>
        </w:rPr>
        <w:t>ARTICLE 1.</w:t>
      </w:r>
    </w:p>
    <w:p>
      <w:pPr>
        <w:pStyle w:val=""/>
        <w:jc w:val="center"/>
      </w:pPr>
      <w:r>
        <w:rPr>
          <w:rFonts w:ascii="" w:hAnsi="" w:cs="" w:eastAsia=""/>
          <w:b w:val="false"/>
          <w:i w:val="false"/>
          <w:strike w:val="false"/>
          <w:color w:val=""/>
          <w:sz w:val="22"/>
        </w:rPr>
        <w:t xml:space="preserve"> IN MUNICIPALITIES OF OVER 1,000</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The following terms whenever used or referred to in this article shall have the following respective meanings for the purposes of this article, unless a different meaning clearly appears from the context: </w:t>
      </w:r>
    </w:p>
    <w:p>
      <w:pPr>
        <w:pStyle w:val=""/>
        <w:jc w:val="both"/>
      </w:pPr>
      <w:r>
        <w:rPr>
          <w:rFonts w:ascii="" w:hAnsi="" w:cs="" w:eastAsia=""/>
          <w:b w:val="false"/>
          <w:i w:val="false"/>
          <w:strike w:val="false"/>
          <w:color w:val=""/>
          <w:sz w:val="22"/>
        </w:rPr>
        <w:t>(1) “Municipality” shall mean any city or town re</w:t>
      </w:r>
      <w:r>
        <w:rPr>
          <w:rFonts w:ascii="" w:hAnsi="" w:cs="" w:eastAsia=""/>
          <w:b w:val="false"/>
          <w:i w:val="false"/>
          <w:strike w:val="false"/>
          <w:color w:val=""/>
          <w:sz w:val="22"/>
        </w:rPr>
        <w:t xml:space="preserve">gardless of population; </w:t>
      </w:r>
    </w:p>
    <w:p>
      <w:pPr>
        <w:pStyle w:val=""/>
        <w:jc w:val="both"/>
      </w:pPr>
      <w:r>
        <w:rPr>
          <w:rFonts w:ascii="" w:hAnsi="" w:cs="" w:eastAsia=""/>
          <w:b w:val="false"/>
          <w:i w:val="false"/>
          <w:strike w:val="false"/>
          <w:color w:val=""/>
          <w:sz w:val="22"/>
        </w:rPr>
        <w:t xml:space="preserve">(2) “Governing body” shall mean the council or other legislative body charged with governing a municipality; </w:t>
      </w:r>
    </w:p>
    <w:p>
      <w:pPr>
        <w:pStyle w:val=""/>
        <w:jc w:val="both"/>
      </w:pPr>
      <w:r>
        <w:rPr>
          <w:rFonts w:ascii="" w:hAnsi="" w:cs="" w:eastAsia=""/>
          <w:b w:val="false"/>
          <w:i w:val="false"/>
          <w:strike w:val="false"/>
          <w:color w:val=""/>
          <w:sz w:val="22"/>
        </w:rPr>
        <w:t>(3) “Public officer” shall mean the officer or officers who are authorized by ordinances adopted hereunder to exercise th</w:t>
      </w:r>
      <w:r>
        <w:rPr>
          <w:rFonts w:ascii="" w:hAnsi="" w:cs="" w:eastAsia=""/>
          <w:b w:val="false"/>
          <w:i w:val="false"/>
          <w:strike w:val="false"/>
          <w:color w:val=""/>
          <w:sz w:val="22"/>
        </w:rPr>
        <w:t xml:space="preserve">e powers prescribed by such ordinances and by this article; </w:t>
      </w:r>
    </w:p>
    <w:p>
      <w:pPr>
        <w:pStyle w:val=""/>
        <w:jc w:val="both"/>
      </w:pPr>
      <w:r>
        <w:rPr>
          <w:rFonts w:ascii="" w:hAnsi="" w:cs="" w:eastAsia=""/>
          <w:b w:val="false"/>
          <w:i w:val="false"/>
          <w:strike w:val="false"/>
          <w:color w:val=""/>
          <w:sz w:val="22"/>
        </w:rPr>
        <w:t>(4) “Public authority” shall mean any housing authority or any officer who is in charge of any department or branch of the government of the municipality or State relating to health, fire or buil</w:t>
      </w:r>
      <w:r>
        <w:rPr>
          <w:rFonts w:ascii="" w:hAnsi="" w:cs="" w:eastAsia=""/>
          <w:b w:val="false"/>
          <w:i w:val="false"/>
          <w:strike w:val="false"/>
          <w:color w:val=""/>
          <w:sz w:val="22"/>
        </w:rPr>
        <w:t xml:space="preserve">ding regulations or to other activities concerning dwellings in the municipality; </w:t>
      </w:r>
    </w:p>
    <w:p>
      <w:pPr>
        <w:pStyle w:val=""/>
        <w:jc w:val="both"/>
      </w:pPr>
      <w:r>
        <w:rPr>
          <w:rFonts w:ascii="" w:hAnsi="" w:cs="" w:eastAsia=""/>
          <w:b w:val="false"/>
          <w:i w:val="false"/>
          <w:strike w:val="false"/>
          <w:color w:val=""/>
          <w:sz w:val="22"/>
        </w:rPr>
        <w:t xml:space="preserve">(5) “Owner” shall mean the holder of the title in fee simple and every mortgagee of record; </w:t>
      </w:r>
    </w:p>
    <w:p>
      <w:pPr>
        <w:pStyle w:val=""/>
        <w:jc w:val="both"/>
      </w:pPr>
      <w:r>
        <w:rPr>
          <w:rFonts w:ascii="" w:hAnsi="" w:cs="" w:eastAsia=""/>
          <w:b w:val="false"/>
          <w:i w:val="false"/>
          <w:strike w:val="false"/>
          <w:color w:val=""/>
          <w:sz w:val="22"/>
        </w:rPr>
        <w:t>(6) “Parties in interest” shall mean all individuals, associations, corporations</w:t>
      </w:r>
      <w:r>
        <w:rPr>
          <w:rFonts w:ascii="" w:hAnsi="" w:cs="" w:eastAsia=""/>
          <w:b w:val="false"/>
          <w:i w:val="false"/>
          <w:strike w:val="false"/>
          <w:color w:val=""/>
          <w:sz w:val="22"/>
        </w:rPr>
        <w:t xml:space="preserve">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(7) “Dwelling” shall mean any building or structure, or part thereof, used and occupied for human habitation or intended to be so used and includes any outh</w:t>
      </w:r>
      <w:r>
        <w:rPr>
          <w:rFonts w:ascii="" w:hAnsi="" w:cs="" w:eastAsia=""/>
          <w:b w:val="false"/>
          <w:i w:val="false"/>
          <w:strike w:val="false"/>
          <w:color w:val=""/>
          <w:sz w:val="22"/>
        </w:rPr>
        <w:t xml:space="preserve">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Whenever any municipality of this State finds that there exist in such municipality dwellings which are unfit f</w:t>
      </w:r>
      <w:r>
        <w:rPr>
          <w:rFonts w:ascii="" w:hAnsi="" w:cs="" w:eastAsia=""/>
          <w:b w:val="false"/>
          <w:i w:val="false"/>
          <w:strike w:val="false"/>
          <w:color w:val=""/>
          <w:sz w:val="22"/>
        </w:rPr>
        <w:t>or human habitation due to (a) dilapidation, (b) defects increasing the hazards of fire, accidents or other calamities, (c) lack of ventilation, light or sanitary facilities or (d) other conditions rendering such dwellings unsafe or insanitary, dangerous o</w:t>
      </w:r>
      <w:r>
        <w:rPr>
          <w:rFonts w:ascii="" w:hAnsi="" w:cs="" w:eastAsia=""/>
          <w:b w:val="false"/>
          <w:i w:val="false"/>
          <w:strike w:val="false"/>
          <w:color w:val=""/>
          <w:sz w:val="22"/>
        </w:rPr>
        <w:t xml:space="preserve">r detrimental to the health, safety or morals or otherwise inimical to the welfare of the residents of such municipality, such municipality may exercise its police powers to repair, close or demolish any such dwelling in the manner herein provided. </w:t>
      </w:r>
    </w:p>
    <w:p>
      <w:pPr>
        <w:pStyle w:val=""/>
        <w:jc w:val="both"/>
      </w:pPr>
      <w:r>
        <w:rPr>
          <w:rFonts w:ascii="" w:hAnsi="" w:cs="" w:eastAsia=""/>
          <w:b w:val="true"/>
          <w:i w:val="false"/>
          <w:strike w:val="false"/>
          <w:color w:val=""/>
          <w:sz w:val="22"/>
        </w:rPr>
        <w:t>SECTI</w:t>
      </w:r>
      <w:r>
        <w:rPr>
          <w:rFonts w:ascii="" w:hAnsi="" w:cs="" w:eastAsia=""/>
          <w:b w:val="true"/>
          <w:i w:val="false"/>
          <w:strike w:val="false"/>
          <w:color w:val=""/>
          <w:sz w:val="22"/>
        </w:rPr>
        <w:t>ON 31</w:t>
      </w:r>
      <w:r>
        <w:rPr>
          <w:rFonts w:ascii="" w:hAnsi="" w:cs="" w:eastAsia=""/>
          <w:b w:val="true"/>
          <w:i w:val="false"/>
          <w:strike w:val="false"/>
          <w:color w:val=""/>
          <w:sz w:val="22"/>
        </w:rPr>
        <w:t>15</w:t>
      </w:r>
      <w:r>
        <w:rPr>
          <w:rFonts w:ascii="" w:hAnsi="" w:cs="" w:eastAsia=""/>
          <w:b w:val="true"/>
          <w:i w:val="false"/>
          <w:strike w:val="false"/>
          <w:color w:val=""/>
          <w:sz w:val="22"/>
        </w:rPr>
        <w:t>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 xml:space="preserve">20 exist within a municipality, the governing body </w:t>
      </w:r>
      <w:r>
        <w:rPr>
          <w:rFonts w:ascii="" w:hAnsi="" w:cs="" w:eastAsia=""/>
          <w:b w:val="false"/>
          <w:i w:val="false"/>
          <w:strike w:val="false"/>
          <w:color w:val=""/>
          <w:sz w:val="22"/>
        </w:rPr>
        <w:t xml:space="preserve">of such municipality may adopt ordinances relating to the dwellings within such municipality which are unfit for human habitation.  Such ordinances may include the following provisions: </w:t>
      </w:r>
    </w:p>
    <w:p>
      <w:pPr>
        <w:pStyle w:val=""/>
        <w:jc w:val="both"/>
      </w:pPr>
      <w:r>
        <w:rPr>
          <w:rFonts w:ascii="" w:hAnsi="" w:cs="" w:eastAsia=""/>
          <w:b w:val="false"/>
          <w:i w:val="false"/>
          <w:strike w:val="false"/>
          <w:color w:val=""/>
          <w:sz w:val="22"/>
        </w:rPr>
        <w:t xml:space="preserve">(1) That a public officer be designated or appointed to exercise the </w:t>
      </w:r>
      <w:r>
        <w:rPr>
          <w:rFonts w:ascii="" w:hAnsi="" w:cs="" w:eastAsia=""/>
          <w:b w:val="false"/>
          <w:i w:val="false"/>
          <w:strike w:val="false"/>
          <w:color w:val=""/>
          <w:sz w:val="22"/>
        </w:rPr>
        <w:t xml:space="preserve">powers prescribed by the ordinances; </w:t>
      </w:r>
    </w:p>
    <w:p>
      <w:pPr>
        <w:pStyle w:val=""/>
        <w:jc w:val="both"/>
      </w:pPr>
      <w:r>
        <w:rPr>
          <w:rFonts w:ascii="" w:hAnsi="" w:cs="" w:eastAsia=""/>
          <w:b w:val="false"/>
          <w:i w:val="false"/>
          <w:strike w:val="false"/>
          <w:color w:val=""/>
          <w:sz w:val="22"/>
        </w:rPr>
        <w:t>(2) That whenever a petition is filed with the public officer by a public authority or by at least five residents of the municipality charging that any dwelling is unfit for human habitation or whenever it appears to t</w:t>
      </w:r>
      <w:r>
        <w:rPr>
          <w:rFonts w:ascii="" w:hAnsi="" w:cs="" w:eastAsia=""/>
          <w:b w:val="false"/>
          <w:i w:val="false"/>
          <w:strike w:val="false"/>
          <w:color w:val=""/>
          <w:sz w:val="22"/>
        </w:rPr>
        <w:t>he public officer (on his own motion) that any dwelling is unfit for human habitation, the public officer shall, if his preliminary investigation discloses a basis for such charges, issue and cause to be served upon the owner of and all parties in interest</w:t>
      </w:r>
      <w:r>
        <w:rPr>
          <w:rFonts w:ascii="" w:hAnsi="" w:cs="" w:eastAsia=""/>
          <w:b w:val="false"/>
          <w:i w:val="false"/>
          <w:strike w:val="false"/>
          <w:color w:val=""/>
          <w:sz w:val="22"/>
        </w:rPr>
        <w:t xml:space="preserve"> in such dwelling a complaint stating the charges in that respect and containing a notice that a hearing will be held before the public officer or his designated agent at a place therein fixed not less than ten days nor more than thirty days after the serv</w:t>
      </w:r>
      <w:r>
        <w:rPr>
          <w:rFonts w:ascii="" w:hAnsi="" w:cs="" w:eastAsia=""/>
          <w:b w:val="false"/>
          <w:i w:val="false"/>
          <w:strike w:val="false"/>
          <w:color w:val=""/>
          <w:sz w:val="22"/>
        </w:rPr>
        <w:t xml:space="preserve">ing of such complaint;  that the owner and parties in interest shall be given the right to file an answer to the complaint </w:t>
      </w:r>
      <w:r>
        <w:rPr>
          <w:rFonts w:ascii="" w:hAnsi="" w:cs="" w:eastAsia=""/>
          <w:b w:val="false"/>
          <w:i w:val="false"/>
          <w:strike w:val="false"/>
          <w:color w:val=""/>
          <w:sz w:val="22"/>
        </w:rPr>
        <w:t>and to appear in person or otherwise and give testimony at the place and time fixed in the complaint;  and that the rules of evidence</w:t>
      </w:r>
      <w:r>
        <w:rPr>
          <w:rFonts w:ascii="" w:hAnsi="" w:cs="" w:eastAsia=""/>
          <w:b w:val="false"/>
          <w:i w:val="false"/>
          <w:strike w:val="false"/>
          <w:color w:val=""/>
          <w:sz w:val="22"/>
        </w:rPr>
        <w:t xml:space="preserv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dwelling under consideration is unfit for human habitation he shall s</w:t>
      </w:r>
      <w:r>
        <w:rPr>
          <w:rFonts w:ascii="" w:hAnsi="" w:cs="" w:eastAsia=""/>
          <w:b w:val="false"/>
          <w:i w:val="false"/>
          <w:strike w:val="false"/>
          <w:color w:val=""/>
          <w:sz w:val="22"/>
        </w:rPr>
        <w:t xml:space="preserve">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of the dwelling can be made at a reasonable cost in relation to the v</w:t>
      </w:r>
      <w:r>
        <w:rPr>
          <w:rFonts w:ascii="" w:hAnsi="" w:cs="" w:eastAsia=""/>
          <w:b w:val="false"/>
          <w:i w:val="false"/>
          <w:strike w:val="false"/>
          <w:color w:val=""/>
          <w:sz w:val="22"/>
        </w:rPr>
        <w:t>alue of the dwelling (the ordinance of the municipality may fix a certain percentage of such cost as being reasonable for such purpose), requiring the owner, within the time specified in the order, to repair, alter or improve such dwelling to render it fit</w:t>
      </w:r>
      <w:r>
        <w:rPr>
          <w:rFonts w:ascii="" w:hAnsi="" w:cs="" w:eastAsia=""/>
          <w:b w:val="false"/>
          <w:i w:val="false"/>
          <w:strike w:val="false"/>
          <w:color w:val=""/>
          <w:sz w:val="22"/>
        </w:rPr>
        <w:t xml:space="preserve">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to the value of the dwelling (the ordinance of the municipality</w:t>
      </w:r>
      <w:r>
        <w:rPr>
          <w:rFonts w:ascii="" w:hAnsi="" w:cs="" w:eastAsia=""/>
          <w:b w:val="false"/>
          <w:i w:val="false"/>
          <w:strike w:val="false"/>
          <w:color w:val=""/>
          <w:sz w:val="22"/>
        </w:rPr>
        <w:t xml:space="preserve">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owner fails to comply with an order to repair, alter or im</w:t>
      </w:r>
      <w:r>
        <w:rPr>
          <w:rFonts w:ascii="" w:hAnsi="" w:cs="" w:eastAsia=""/>
          <w:b w:val="false"/>
          <w:i w:val="false"/>
          <w:strike w:val="false"/>
          <w:color w:val=""/>
          <w:sz w:val="22"/>
        </w:rPr>
        <w:t>prove or to vacate and close the dwelling, the public officer may cause such dwelling to be repaired, altered or improved or to be vacated and closed;  that the public officer may cause to be posted on the main entrance of any dwelling so closed, a placard</w:t>
      </w:r>
      <w:r>
        <w:rPr>
          <w:rFonts w:ascii="" w:hAnsi="" w:cs="" w:eastAsia=""/>
          <w:b w:val="false"/>
          <w:i w:val="false"/>
          <w:strike w:val="false"/>
          <w:color w:val=""/>
          <w:sz w:val="22"/>
        </w:rPr>
        <w:t xml:space="preserve">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comply with an order to remove or demolish the dwelling, th</w:t>
      </w:r>
      <w:r>
        <w:rPr>
          <w:rFonts w:ascii="" w:hAnsi="" w:cs="" w:eastAsia=""/>
          <w:b w:val="false"/>
          <w:i w:val="false"/>
          <w:strike w:val="false"/>
          <w:color w:val=""/>
          <w:sz w:val="22"/>
        </w:rPr>
        <w:t>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(6) That the amount of the cost of such repairs, alterations or improvements, vacating and closing, or removal or demolition by the public officer shall be a lien against the real </w:t>
      </w:r>
      <w:r>
        <w:rPr>
          <w:rFonts w:ascii="" w:hAnsi="" w:cs="" w:eastAsia=""/>
          <w:b w:val="false"/>
          <w:i w:val="false"/>
          <w:strike w:val="false"/>
          <w:color w:val=""/>
          <w:sz w:val="22"/>
        </w:rPr>
        <w:t xml:space="preserve">property upon which such cost was incurred and shall be collectible in the same manner as municipal taxes.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center"/>
      </w:pPr>
      <w:r>
        <w:rPr>
          <w:rFonts w:ascii="" w:hAnsi="" w:cs="" w:eastAsia=""/>
          <w:b w:val="false"/>
          <w:i w:val="false"/>
          <w:strike w:val="false"/>
          <w:color w:val=""/>
          <w:sz w:val="22"/>
        </w:rPr>
        <w:t/>
      </w:r>
    </w:p>
    <w:p>
      <w:pPr>
        <w:pStyle w:val=""/>
        <w:jc w:val="center"/>
      </w:pP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xml:space="preserve">st bid the work in conformity with the Procurement Code applicable to the county.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340.</w:t>
      </w:r>
      <w:r>
        <w:rPr>
          <w:rFonts w:ascii="" w:hAnsi="" w:cs="" w:eastAsia=""/>
          <w:b w:val="false"/>
          <w:i w:val="false"/>
          <w:strike w:val="false"/>
          <w:color w:val=""/>
          <w:sz w:val="22"/>
        </w:rPr>
        <w:t xml:space="preserve"> Power of county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330 shall be cons</w:t>
      </w:r>
      <w:r>
        <w:rPr>
          <w:rFonts w:ascii="" w:hAnsi="" w:cs="" w:eastAsia=""/>
          <w:b w:val="false"/>
          <w:i w:val="false"/>
          <w:strike w:val="false"/>
          <w:color w:val=""/>
          <w:sz w:val="22"/>
        </w:rPr>
        <w:t xml:space="preserve">trued to impair or limit in any way the power of a county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w:t>
      </w:r>
      <w:r>
        <w:rPr>
          <w:rFonts w:ascii="" w:hAnsi="" w:cs="" w:eastAsia=""/>
          <w:b w:val="false"/>
          <w:i w:val="false"/>
          <w:strike w:val="false"/>
          <w:color w:val=""/>
          <w:sz w:val="22"/>
        </w:rPr>
        <w:t>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the county governing body under this article shall provide that a public officer may determine that a dwelling is unfit for human habitation if he finds that conditions exist in such dwelling which are dangerous or i</w:t>
      </w:r>
      <w:r>
        <w:rPr>
          <w:rFonts w:ascii="" w:hAnsi="" w:cs="" w:eastAsia=""/>
          <w:b w:val="false"/>
          <w:i w:val="false"/>
          <w:strike w:val="false"/>
          <w:color w:val=""/>
          <w:sz w:val="22"/>
        </w:rPr>
        <w:t>njurious to the health, safety or morals of the occupants of such dwelling, the occupants of neighboring dwellings or other residents in the county.  Such conditions may include the following (without limiting the generality of the foregoing):  Defects the</w:t>
      </w:r>
      <w:r>
        <w:rPr>
          <w:rFonts w:ascii="" w:hAnsi="" w:cs="" w:eastAsia=""/>
          <w:b w:val="false"/>
          <w:i w:val="false"/>
          <w:strike w:val="false"/>
          <w:color w:val=""/>
          <w:sz w:val="22"/>
        </w:rPr>
        <w:t>rein increasing the hazards of fire, accidents or other calamities;  lack of adequate ventilation, light or sanitary facilities;  dilapidation;  disrepair;  structural defects;  uncleanliness.  The ordinance may provide additional standards to guide the pu</w:t>
      </w:r>
      <w:r>
        <w:rPr>
          <w:rFonts w:ascii="" w:hAnsi="" w:cs="" w:eastAsia=""/>
          <w:b w:val="false"/>
          <w:i w:val="false"/>
          <w:strike w:val="false"/>
          <w:color w:val=""/>
          <w:sz w:val="22"/>
        </w:rPr>
        <w:t xml:space="preserve">blic officer or his agents in determining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w:t>
      </w:r>
      <w:r>
        <w:rPr>
          <w:rFonts w:ascii="" w:hAnsi="" w:cs="" w:eastAsia=""/>
          <w:b w:val="false"/>
          <w:i w:val="false"/>
          <w:strike w:val="false"/>
          <w:color w:val=""/>
          <w:sz w:val="22"/>
        </w:rPr>
        <w:t>nder this article shall be served upon persons either personally or by registered mail, but if the whereabouts of such persons is unknown and cannot be ascertained by the public officer in the exercise of reasonable diligence and the public officer shall m</w:t>
      </w:r>
      <w:r>
        <w:rPr>
          <w:rFonts w:ascii="" w:hAnsi="" w:cs="" w:eastAsia=""/>
          <w:b w:val="false"/>
          <w:i w:val="false"/>
          <w:strike w:val="false"/>
          <w:color w:val=""/>
          <w:sz w:val="22"/>
        </w:rPr>
        <w:t>ake an affidavit to that effect, then the serving of such complaint or order upon such persons may be made by publishing it once each week for two consecutive weeks in a newspaper printed and published in the county or, in the absence of such newspaper, in</w:t>
      </w:r>
      <w:r>
        <w:rPr>
          <w:rFonts w:ascii="" w:hAnsi="" w:cs="" w:eastAsia=""/>
          <w:b w:val="false"/>
          <w:i w:val="false"/>
          <w:strike w:val="false"/>
          <w:color w:val=""/>
          <w:sz w:val="22"/>
        </w:rPr>
        <w:t xml:space="preserve"> one printed and published in the municipality and circulating in the county.  A copy of such complaint or order shall be posted in a conspicuous place on the premises affected by the complaint or order.  A copy of such complaint or order shall also be fil</w:t>
      </w:r>
      <w:r>
        <w:rPr>
          <w:rFonts w:ascii="" w:hAnsi="" w:cs="" w:eastAsia=""/>
          <w:b w:val="false"/>
          <w:i w:val="false"/>
          <w:strike w:val="false"/>
          <w:color w:val=""/>
          <w:sz w:val="22"/>
        </w:rPr>
        <w:t xml:space="preserve">ed with the clerk of court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w:t>
      </w:r>
      <w:r>
        <w:rPr>
          <w:rFonts w:ascii="" w:hAnsi="" w:cs="" w:eastAsia=""/>
          <w:b w:val="false"/>
          <w:i w:val="false"/>
          <w:strike w:val="false"/>
          <w:color w:val=""/>
          <w:sz w:val="22"/>
        </w:rPr>
        <w:t>e court may, upon such petition, issue a temporary injunction restraining the public officer pending the final disposition of the cause.  Hearings shall be had by the court on such petitions within twenty days or as soon thereafter as possible and shall be</w:t>
      </w:r>
      <w:r>
        <w:rPr>
          <w:rFonts w:ascii="" w:hAnsi="" w:cs="" w:eastAsia=""/>
          <w:b w:val="false"/>
          <w:i w:val="false"/>
          <w:strike w:val="false"/>
          <w:color w:val=""/>
          <w:sz w:val="22"/>
        </w:rPr>
        <w:t xml:space="preserve"> given preference over other matters on the court’s calendar.  The court shall hear and determine the issues raised and shall enter such final order or decree as law and justice may require.  In all such proceedings the findings of the public officer as to</w:t>
      </w:r>
      <w:r>
        <w:rPr>
          <w:rFonts w:ascii="" w:hAnsi="" w:cs="" w:eastAsia=""/>
          <w:b w:val="false"/>
          <w:i w:val="false"/>
          <w:strike w:val="false"/>
          <w:color w:val=""/>
          <w:sz w:val="22"/>
        </w:rPr>
        <w:t xml:space="preserve"> facts, if supported by evidence, shall be conclusive.  Costs shall be in the discretion of the court.  The remedies herein provided shall be exclusive remedies and no person affected by an order of the public officer shall be entitled to recover any damag</w:t>
      </w:r>
      <w:r>
        <w:rPr>
          <w:rFonts w:ascii="" w:hAnsi="" w:cs="" w:eastAsia=""/>
          <w:b w:val="false"/>
          <w:i w:val="false"/>
          <w:strike w:val="false"/>
          <w:color w:val=""/>
          <w:sz w:val="22"/>
        </w:rPr>
        <w:t xml:space="preserve">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An ordinance adopted by </w:t>
      </w:r>
      <w:r>
        <w:rPr>
          <w:rFonts w:ascii="" w:hAnsi="" w:cs="" w:eastAsia=""/>
          <w:b w:val="false"/>
          <w:i w:val="false"/>
          <w:strike w:val="false"/>
          <w:color w:val=""/>
          <w:sz w:val="22"/>
        </w:rPr>
        <w:t>the county governing body may authorize a public officer to exercise such powers as may be necessary or convenient to carry out and effectuate the purposes and provisions of this article, including the following powers in addition to others herein granted: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(1) To investigate the dwelling conditions in the county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 xml:space="preserve">(3) To enter upon premises for the </w:t>
      </w:r>
      <w:r>
        <w:rPr>
          <w:rFonts w:ascii="" w:hAnsi="" w:cs="" w:eastAsia=""/>
          <w:b w:val="false"/>
          <w:i w:val="false"/>
          <w:strike w:val="false"/>
          <w:color w:val=""/>
          <w:sz w:val="22"/>
        </w:rPr>
        <w:t xml:space="preserve">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necessary to carry</w:t>
      </w:r>
      <w:r>
        <w:rPr>
          <w:rFonts w:ascii="" w:hAnsi="" w:cs="" w:eastAsia=""/>
          <w:b w:val="false"/>
          <w:i w:val="false"/>
          <w:strike w:val="false"/>
          <w:color w:val=""/>
          <w:sz w:val="22"/>
        </w:rPr>
        <w:t xml:space="preserve">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If a dwelling is re</w:t>
      </w:r>
      <w:r>
        <w:rPr>
          <w:rFonts w:ascii="" w:hAnsi="" w:cs="" w:eastAsia=""/>
          <w:b w:val="false"/>
          <w:i w:val="false"/>
          <w:strike w:val="false"/>
          <w:color w:val=""/>
          <w:sz w:val="22"/>
        </w:rPr>
        <w:t>moved or demolished by a public officer he shall sell the materials of such dwelling and shall credit the proceeds of such sale against the cost of the removal or demolition and any balance remaining shall be deposited in the circuit court by the public of</w:t>
      </w:r>
      <w:r>
        <w:rPr>
          <w:rFonts w:ascii="" w:hAnsi="" w:cs="" w:eastAsia=""/>
          <w:b w:val="false"/>
          <w:i w:val="false"/>
          <w:strike w:val="false"/>
          <w:color w:val=""/>
          <w:sz w:val="22"/>
        </w:rPr>
        <w:t xml:space="preserve">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w:t>
      </w:r>
      <w:r>
        <w:rPr>
          <w:rFonts w:ascii="" w:hAnsi="" w:cs="" w:eastAsia=""/>
          <w:b w:val="false"/>
          <w:i w:val="false"/>
          <w:strike w:val="false"/>
          <w:color w:val=""/>
          <w:sz w:val="22"/>
        </w:rPr>
        <w:t>ng in this article shall be construed to abrogate or impair the powers of the courts or of any department of any municipality in the county to enforce any provisions of its charter or its ordinances or regulations, or to prevent or punish violations thereo</w:t>
      </w:r>
      <w:r>
        <w:rPr>
          <w:rFonts w:ascii="" w:hAnsi="" w:cs="" w:eastAsia=""/>
          <w:b w:val="false"/>
          <w:i w:val="false"/>
          <w:strike w:val="false"/>
          <w:color w:val=""/>
          <w:sz w:val="22"/>
        </w:rPr>
        <w:t xml:space="preserve">f and the powers conferred by this article shall be in addition and supplemental to the powers conferred by any other law.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2018-05-10T12:57:52Z</dcterms:created>
  <dc:creator>Apache POI</dc:creator>
</cp:coreProperties>
</file>