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>ooms forming a single habitable unit used or intended to be used for living an</w:t>
      </w:r>
      <w:r>
        <w:rPr>
          <w:rFonts w:ascii="" w:hAnsi="" w:cs="" w:eastAsia=""/>
          <w:b w:val="false"/>
          <w:i w:val="false"/>
          <w:strike w:val="false"/>
          <w:color w:val=""/>
        </w:rPr>
        <w:t>d sleeping, but not for cooking or eating purposes.</w:t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>Rubbish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shall mean combustible and noncombustible waste materials except for garbage, and the term shall include the residue from the burning of wood, coal, coke and other combustible material, paper, ra</w:t>
      </w:r>
      <w:r>
        <w:rPr>
          <w:rFonts w:ascii="" w:hAnsi="" w:cs="" w:eastAsia=""/>
          <w:b w:val="false"/>
          <w:i w:val="false"/>
          <w:strike w:val="false"/>
          <w:color w:val=""/>
        </w:rPr>
        <w:t>gs, cartons, boxes, wood, excelsior, rubber, leather, tree branches, yard trimmings, tin cans, metal mineral matter, glass crockery and dust.</w:t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>Stairway</w:t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3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3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2018-05-10T12:58:20Z</dcterms:created>
  <dc:creator>Apache POI</dc:creator>
</cp:coreProperties>
</file>